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A2727" w14:textId="7B9F6EB6" w:rsidR="002C17C0" w:rsidRPr="00965A67" w:rsidRDefault="006701E8" w:rsidP="006701E8">
      <w:r>
        <w:tab/>
      </w:r>
    </w:p>
    <w:p w14:paraId="5E37CEF8" w14:textId="77777777" w:rsidR="002C17C0" w:rsidRDefault="002C17C0" w:rsidP="00CE06B6">
      <w:pPr>
        <w:jc w:val="center"/>
        <w:rPr>
          <w:b/>
          <w:bCs/>
        </w:rPr>
      </w:pPr>
    </w:p>
    <w:p w14:paraId="4CA53E98" w14:textId="77777777" w:rsidR="002C17C0" w:rsidRPr="008500F1" w:rsidRDefault="002C17C0" w:rsidP="00CE06B6">
      <w:pPr>
        <w:jc w:val="center"/>
        <w:rPr>
          <w:rFonts w:cstheme="minorHAnsi"/>
          <w:b/>
          <w:bCs/>
        </w:rPr>
      </w:pPr>
    </w:p>
    <w:p w14:paraId="2DD20E7D" w14:textId="77777777" w:rsidR="002C17C0" w:rsidRPr="008500F1" w:rsidRDefault="002C17C0" w:rsidP="00CE06B6">
      <w:pPr>
        <w:jc w:val="center"/>
        <w:rPr>
          <w:rFonts w:cstheme="minorHAnsi"/>
          <w:b/>
          <w:bCs/>
        </w:rPr>
      </w:pPr>
    </w:p>
    <w:p w14:paraId="21953A1A" w14:textId="0380F6BD" w:rsidR="002C17C0" w:rsidRPr="008500F1" w:rsidRDefault="005C0751" w:rsidP="002C17C0">
      <w:pPr>
        <w:spacing w:line="480" w:lineRule="auto"/>
        <w:jc w:val="center"/>
        <w:rPr>
          <w:rFonts w:cstheme="minorHAnsi"/>
        </w:rPr>
      </w:pPr>
      <w:r w:rsidRPr="008500F1">
        <w:rPr>
          <w:rFonts w:cstheme="minorHAnsi"/>
          <w:b/>
          <w:bCs/>
        </w:rPr>
        <w:t>Malnutrition in the Elderly</w:t>
      </w:r>
    </w:p>
    <w:p w14:paraId="12010A44" w14:textId="77777777" w:rsidR="005C0751" w:rsidRPr="008500F1" w:rsidRDefault="005C0751" w:rsidP="002C17C0">
      <w:pPr>
        <w:spacing w:line="480" w:lineRule="auto"/>
        <w:jc w:val="center"/>
        <w:rPr>
          <w:rFonts w:cstheme="minorHAnsi"/>
        </w:rPr>
      </w:pPr>
    </w:p>
    <w:p w14:paraId="3718D13E" w14:textId="3CAF02F3" w:rsidR="005C0751" w:rsidRPr="008500F1" w:rsidRDefault="005C0751" w:rsidP="002C17C0">
      <w:pPr>
        <w:spacing w:line="480" w:lineRule="auto"/>
        <w:jc w:val="center"/>
        <w:rPr>
          <w:rFonts w:cstheme="minorHAnsi"/>
        </w:rPr>
      </w:pPr>
      <w:r w:rsidRPr="008500F1">
        <w:rPr>
          <w:rFonts w:cstheme="minorHAnsi"/>
        </w:rPr>
        <w:t>Leona J. Hillsgrove</w:t>
      </w:r>
    </w:p>
    <w:p w14:paraId="21201709" w14:textId="7230F114" w:rsidR="005C0751" w:rsidRPr="008500F1" w:rsidRDefault="005C0751" w:rsidP="002C17C0">
      <w:pPr>
        <w:spacing w:line="480" w:lineRule="auto"/>
        <w:jc w:val="center"/>
        <w:rPr>
          <w:rFonts w:cstheme="minorHAnsi"/>
        </w:rPr>
      </w:pPr>
      <w:r w:rsidRPr="008500F1">
        <w:rPr>
          <w:rFonts w:cstheme="minorHAnsi"/>
        </w:rPr>
        <w:t>Department of Nursing, Eastern Florida State College</w:t>
      </w:r>
    </w:p>
    <w:p w14:paraId="652BF711" w14:textId="014FC5DD" w:rsidR="005C0751" w:rsidRPr="008500F1" w:rsidRDefault="005C0751" w:rsidP="002C17C0">
      <w:pPr>
        <w:spacing w:line="480" w:lineRule="auto"/>
        <w:jc w:val="center"/>
        <w:rPr>
          <w:rFonts w:cstheme="minorHAnsi"/>
        </w:rPr>
      </w:pPr>
      <w:r w:rsidRPr="008500F1">
        <w:rPr>
          <w:rFonts w:cstheme="minorHAnsi"/>
        </w:rPr>
        <w:t>NUR 4286: Gerontology and End of Life Care</w:t>
      </w:r>
    </w:p>
    <w:p w14:paraId="2F2CA169" w14:textId="3CE56A06" w:rsidR="005C0751" w:rsidRPr="008500F1" w:rsidRDefault="005C0751" w:rsidP="002C17C0">
      <w:pPr>
        <w:spacing w:line="480" w:lineRule="auto"/>
        <w:jc w:val="center"/>
        <w:rPr>
          <w:rFonts w:cstheme="minorHAnsi"/>
        </w:rPr>
      </w:pPr>
      <w:r w:rsidRPr="008500F1">
        <w:rPr>
          <w:rFonts w:cstheme="minorHAnsi"/>
        </w:rPr>
        <w:t>Professor Emily Crawford</w:t>
      </w:r>
    </w:p>
    <w:p w14:paraId="3D6D5CD2" w14:textId="04093D52" w:rsidR="005C0751" w:rsidRPr="008500F1" w:rsidRDefault="005C0751" w:rsidP="002C17C0">
      <w:pPr>
        <w:spacing w:line="480" w:lineRule="auto"/>
        <w:jc w:val="center"/>
        <w:rPr>
          <w:rFonts w:cstheme="minorHAnsi"/>
        </w:rPr>
      </w:pPr>
      <w:r w:rsidRPr="008500F1">
        <w:rPr>
          <w:rFonts w:cstheme="minorHAnsi"/>
        </w:rPr>
        <w:t>November 12, 2023</w:t>
      </w:r>
    </w:p>
    <w:p w14:paraId="26429010" w14:textId="77777777" w:rsidR="005C0751" w:rsidRPr="008500F1" w:rsidRDefault="005C0751" w:rsidP="002C17C0">
      <w:pPr>
        <w:spacing w:line="480" w:lineRule="auto"/>
        <w:jc w:val="center"/>
        <w:rPr>
          <w:rFonts w:cstheme="minorHAnsi"/>
        </w:rPr>
      </w:pPr>
    </w:p>
    <w:p w14:paraId="4DA3391F" w14:textId="77777777" w:rsidR="005C0751" w:rsidRPr="008500F1" w:rsidRDefault="005C0751" w:rsidP="002C17C0">
      <w:pPr>
        <w:spacing w:line="480" w:lineRule="auto"/>
        <w:jc w:val="center"/>
        <w:rPr>
          <w:rFonts w:cstheme="minorHAnsi"/>
        </w:rPr>
      </w:pPr>
    </w:p>
    <w:p w14:paraId="06999A16" w14:textId="77777777" w:rsidR="005C0751" w:rsidRPr="008500F1" w:rsidRDefault="005C0751" w:rsidP="002C17C0">
      <w:pPr>
        <w:spacing w:line="480" w:lineRule="auto"/>
        <w:jc w:val="center"/>
        <w:rPr>
          <w:rFonts w:cstheme="minorHAnsi"/>
        </w:rPr>
      </w:pPr>
    </w:p>
    <w:p w14:paraId="4BD211BB" w14:textId="77777777" w:rsidR="005C0751" w:rsidRPr="008500F1" w:rsidRDefault="005C0751" w:rsidP="002C17C0">
      <w:pPr>
        <w:spacing w:line="480" w:lineRule="auto"/>
        <w:jc w:val="center"/>
        <w:rPr>
          <w:rFonts w:cstheme="minorHAnsi"/>
        </w:rPr>
      </w:pPr>
    </w:p>
    <w:p w14:paraId="57046053" w14:textId="77777777" w:rsidR="005C0751" w:rsidRPr="008500F1" w:rsidRDefault="005C0751" w:rsidP="002C17C0">
      <w:pPr>
        <w:spacing w:line="480" w:lineRule="auto"/>
        <w:jc w:val="center"/>
        <w:rPr>
          <w:rFonts w:cstheme="minorHAnsi"/>
        </w:rPr>
      </w:pPr>
    </w:p>
    <w:p w14:paraId="64D4E0EC" w14:textId="77777777" w:rsidR="005C0751" w:rsidRPr="008500F1" w:rsidRDefault="005C0751" w:rsidP="002C17C0">
      <w:pPr>
        <w:spacing w:line="480" w:lineRule="auto"/>
        <w:jc w:val="center"/>
        <w:rPr>
          <w:rFonts w:cstheme="minorHAnsi"/>
        </w:rPr>
      </w:pPr>
    </w:p>
    <w:p w14:paraId="1AAA992D" w14:textId="77777777" w:rsidR="005C0751" w:rsidRPr="008500F1" w:rsidRDefault="005C0751" w:rsidP="002C17C0">
      <w:pPr>
        <w:spacing w:line="480" w:lineRule="auto"/>
        <w:jc w:val="center"/>
        <w:rPr>
          <w:rFonts w:cstheme="minorHAnsi"/>
        </w:rPr>
      </w:pPr>
    </w:p>
    <w:p w14:paraId="619E33A5" w14:textId="77777777" w:rsidR="005C0751" w:rsidRPr="008500F1" w:rsidRDefault="005C0751" w:rsidP="002C17C0">
      <w:pPr>
        <w:spacing w:line="480" w:lineRule="auto"/>
        <w:jc w:val="center"/>
        <w:rPr>
          <w:rFonts w:cstheme="minorHAnsi"/>
        </w:rPr>
      </w:pPr>
    </w:p>
    <w:p w14:paraId="0C9998A3" w14:textId="77777777" w:rsidR="005C0751" w:rsidRPr="008500F1" w:rsidRDefault="005C0751" w:rsidP="002C17C0">
      <w:pPr>
        <w:spacing w:line="480" w:lineRule="auto"/>
        <w:jc w:val="center"/>
        <w:rPr>
          <w:rFonts w:cstheme="minorHAnsi"/>
        </w:rPr>
      </w:pPr>
    </w:p>
    <w:p w14:paraId="2E287979" w14:textId="313D9B14" w:rsidR="005C0751" w:rsidRPr="008500F1" w:rsidRDefault="005C0751" w:rsidP="00B26733">
      <w:pPr>
        <w:spacing w:after="0" w:line="480" w:lineRule="auto"/>
        <w:jc w:val="center"/>
        <w:rPr>
          <w:rFonts w:cstheme="minorHAnsi"/>
          <w:b/>
          <w:bCs/>
        </w:rPr>
      </w:pPr>
      <w:r w:rsidRPr="008500F1">
        <w:rPr>
          <w:rFonts w:cstheme="minorHAnsi"/>
          <w:b/>
          <w:bCs/>
        </w:rPr>
        <w:lastRenderedPageBreak/>
        <w:t>Malnutrition in the Elderly</w:t>
      </w:r>
    </w:p>
    <w:p w14:paraId="3801AB4E" w14:textId="15E4BC81" w:rsidR="007723EF" w:rsidRPr="008500F1" w:rsidRDefault="00A91E17" w:rsidP="00B26733">
      <w:pPr>
        <w:spacing w:after="0" w:line="480" w:lineRule="auto"/>
        <w:rPr>
          <w:rFonts w:cstheme="minorHAnsi"/>
        </w:rPr>
      </w:pPr>
      <w:r w:rsidRPr="008500F1">
        <w:rPr>
          <w:rFonts w:cstheme="minorHAnsi"/>
        </w:rPr>
        <w:tab/>
      </w:r>
      <w:r w:rsidR="007723EF" w:rsidRPr="008500F1">
        <w:rPr>
          <w:rFonts w:cstheme="minorHAnsi"/>
        </w:rPr>
        <w:t xml:space="preserve">Malnutrition means that the amount of food or types of nutrients in the food is insufficient to meet body demands. It can be caused by lack of variety of food, decreased availability of food containing </w:t>
      </w:r>
      <w:r w:rsidR="00484079" w:rsidRPr="008500F1">
        <w:rPr>
          <w:rFonts w:cstheme="minorHAnsi"/>
        </w:rPr>
        <w:t xml:space="preserve">proper </w:t>
      </w:r>
      <w:r w:rsidR="007723EF" w:rsidRPr="008500F1">
        <w:rPr>
          <w:rFonts w:cstheme="minorHAnsi"/>
        </w:rPr>
        <w:t>nutrients and micronutrients, and high prices of food</w:t>
      </w:r>
      <w:r w:rsidR="00484079" w:rsidRPr="008500F1">
        <w:rPr>
          <w:rFonts w:cstheme="minorHAnsi"/>
        </w:rPr>
        <w:t xml:space="preserve"> making it </w:t>
      </w:r>
      <w:r w:rsidR="00AF6355" w:rsidRPr="008500F1">
        <w:rPr>
          <w:rFonts w:cstheme="minorHAnsi"/>
        </w:rPr>
        <w:t>inaccessible</w:t>
      </w:r>
      <w:r w:rsidR="007723EF" w:rsidRPr="008500F1">
        <w:rPr>
          <w:rFonts w:cstheme="minorHAnsi"/>
        </w:rPr>
        <w:t xml:space="preserve">. These deficiencies </w:t>
      </w:r>
      <w:r w:rsidR="00346DC3" w:rsidRPr="008500F1">
        <w:rPr>
          <w:rFonts w:cstheme="minorHAnsi"/>
        </w:rPr>
        <w:t xml:space="preserve">in the elderly population </w:t>
      </w:r>
      <w:r w:rsidR="001778F3" w:rsidRPr="008500F1">
        <w:rPr>
          <w:rFonts w:cstheme="minorHAnsi"/>
        </w:rPr>
        <w:t xml:space="preserve">can </w:t>
      </w:r>
      <w:r w:rsidR="007723EF" w:rsidRPr="008500F1">
        <w:rPr>
          <w:rFonts w:cstheme="minorHAnsi"/>
        </w:rPr>
        <w:t>lead to muscle wasting and loss of function and strength, increasing patient risk of falls, bone fracture, loss of mobility and independence, increased inflammation, depression, and lowered immunity (Norman et al., 2021).</w:t>
      </w:r>
    </w:p>
    <w:p w14:paraId="671771BE" w14:textId="076C8369" w:rsidR="00DA7C8C" w:rsidRPr="008500F1" w:rsidRDefault="00484079" w:rsidP="00B26733">
      <w:pPr>
        <w:spacing w:after="0" w:line="480" w:lineRule="auto"/>
        <w:rPr>
          <w:rFonts w:cstheme="minorHAnsi"/>
        </w:rPr>
      </w:pPr>
      <w:r w:rsidRPr="008500F1">
        <w:rPr>
          <w:rFonts w:cstheme="minorHAnsi"/>
        </w:rPr>
        <w:tab/>
      </w:r>
      <w:r w:rsidR="00094147" w:rsidRPr="008500F1">
        <w:rPr>
          <w:rFonts w:cstheme="minorHAnsi"/>
        </w:rPr>
        <w:t>Insufficient food leading to malnutrition</w:t>
      </w:r>
      <w:r w:rsidR="00A91E17" w:rsidRPr="008500F1">
        <w:rPr>
          <w:rFonts w:cstheme="minorHAnsi"/>
        </w:rPr>
        <w:t xml:space="preserve"> is a huge problem among </w:t>
      </w:r>
      <w:r w:rsidR="0060720A" w:rsidRPr="008500F1">
        <w:rPr>
          <w:rFonts w:cstheme="minorHAnsi"/>
        </w:rPr>
        <w:t>older adults</w:t>
      </w:r>
      <w:r w:rsidR="009501D8" w:rsidRPr="008500F1">
        <w:rPr>
          <w:rFonts w:cstheme="minorHAnsi"/>
        </w:rPr>
        <w:t xml:space="preserve">. </w:t>
      </w:r>
      <w:r w:rsidR="009E0FE2" w:rsidRPr="008500F1">
        <w:rPr>
          <w:rFonts w:cstheme="minorHAnsi"/>
        </w:rPr>
        <w:t xml:space="preserve"> </w:t>
      </w:r>
      <w:r w:rsidR="008C68C2" w:rsidRPr="008500F1">
        <w:rPr>
          <w:rFonts w:cstheme="minorHAnsi"/>
        </w:rPr>
        <w:t xml:space="preserve">According to </w:t>
      </w:r>
      <w:r w:rsidR="00F7281D" w:rsidRPr="008500F1">
        <w:rPr>
          <w:rFonts w:cstheme="minorHAnsi"/>
        </w:rPr>
        <w:t>Feeding America</w:t>
      </w:r>
      <w:r w:rsidR="000962B4" w:rsidRPr="008500F1">
        <w:rPr>
          <w:rFonts w:cstheme="minorHAnsi"/>
        </w:rPr>
        <w:t xml:space="preserve">, </w:t>
      </w:r>
      <w:r w:rsidR="00214228" w:rsidRPr="008500F1">
        <w:rPr>
          <w:rFonts w:cstheme="minorHAnsi"/>
        </w:rPr>
        <w:t>3.8 million</w:t>
      </w:r>
      <w:r w:rsidR="003A0449" w:rsidRPr="008500F1">
        <w:rPr>
          <w:rFonts w:cstheme="minorHAnsi"/>
        </w:rPr>
        <w:t xml:space="preserve"> </w:t>
      </w:r>
      <w:r w:rsidR="00CE556F" w:rsidRPr="008500F1">
        <w:rPr>
          <w:rFonts w:cstheme="minorHAnsi"/>
        </w:rPr>
        <w:t xml:space="preserve">people </w:t>
      </w:r>
      <w:r w:rsidR="0083282B" w:rsidRPr="008500F1">
        <w:rPr>
          <w:rFonts w:cstheme="minorHAnsi"/>
        </w:rPr>
        <w:t>between the ages of</w:t>
      </w:r>
      <w:r w:rsidR="00214228" w:rsidRPr="008500F1">
        <w:rPr>
          <w:rFonts w:cstheme="minorHAnsi"/>
        </w:rPr>
        <w:t xml:space="preserve"> 50-59 and 5.5 mill</w:t>
      </w:r>
      <w:r w:rsidR="00153008" w:rsidRPr="008500F1">
        <w:rPr>
          <w:rFonts w:cstheme="minorHAnsi"/>
        </w:rPr>
        <w:t>i</w:t>
      </w:r>
      <w:r w:rsidR="00214228" w:rsidRPr="008500F1">
        <w:rPr>
          <w:rFonts w:cstheme="minorHAnsi"/>
        </w:rPr>
        <w:t xml:space="preserve">on </w:t>
      </w:r>
      <w:r w:rsidR="00CE556F" w:rsidRPr="008500F1">
        <w:rPr>
          <w:rFonts w:cstheme="minorHAnsi"/>
        </w:rPr>
        <w:t>people</w:t>
      </w:r>
      <w:r w:rsidR="00214228" w:rsidRPr="008500F1">
        <w:rPr>
          <w:rFonts w:cstheme="minorHAnsi"/>
        </w:rPr>
        <w:t xml:space="preserve"> aged</w:t>
      </w:r>
      <w:r w:rsidR="00B72081" w:rsidRPr="008500F1">
        <w:rPr>
          <w:rFonts w:cstheme="minorHAnsi"/>
        </w:rPr>
        <w:t xml:space="preserve"> 60 and above</w:t>
      </w:r>
      <w:r w:rsidR="003A0449" w:rsidRPr="008500F1">
        <w:rPr>
          <w:rFonts w:cstheme="minorHAnsi"/>
        </w:rPr>
        <w:t xml:space="preserve"> </w:t>
      </w:r>
      <w:r w:rsidR="00F71450" w:rsidRPr="008500F1">
        <w:rPr>
          <w:rFonts w:cstheme="minorHAnsi"/>
        </w:rPr>
        <w:t>did not have adequate food</w:t>
      </w:r>
      <w:r w:rsidR="003A0449" w:rsidRPr="008500F1">
        <w:rPr>
          <w:rFonts w:cstheme="minorHAnsi"/>
        </w:rPr>
        <w:t xml:space="preserve"> in 2021</w:t>
      </w:r>
      <w:r w:rsidR="00830DF3" w:rsidRPr="008500F1">
        <w:rPr>
          <w:rFonts w:cstheme="minorHAnsi"/>
        </w:rPr>
        <w:t xml:space="preserve"> (</w:t>
      </w:r>
      <w:r w:rsidR="00D93C7F" w:rsidRPr="008500F1">
        <w:rPr>
          <w:rFonts w:cstheme="minorHAnsi"/>
        </w:rPr>
        <w:t xml:space="preserve">“The State of Senior Hunger in </w:t>
      </w:r>
      <w:r w:rsidR="001753DB" w:rsidRPr="008500F1">
        <w:rPr>
          <w:rFonts w:cstheme="minorHAnsi"/>
        </w:rPr>
        <w:t>2021,” 2023).</w:t>
      </w:r>
      <w:r w:rsidR="00A0185A" w:rsidRPr="008500F1">
        <w:rPr>
          <w:rFonts w:cstheme="minorHAnsi"/>
        </w:rPr>
        <w:t xml:space="preserve"> </w:t>
      </w:r>
      <w:r w:rsidR="000C4F14" w:rsidRPr="008500F1">
        <w:rPr>
          <w:rFonts w:cstheme="minorHAnsi"/>
        </w:rPr>
        <w:t>Minorities</w:t>
      </w:r>
      <w:r w:rsidR="005E0641" w:rsidRPr="008500F1">
        <w:rPr>
          <w:rFonts w:cstheme="minorHAnsi"/>
        </w:rPr>
        <w:t xml:space="preserve"> are at even more risk of</w:t>
      </w:r>
      <w:r w:rsidR="007C0566" w:rsidRPr="008500F1">
        <w:rPr>
          <w:rFonts w:cstheme="minorHAnsi"/>
        </w:rPr>
        <w:t xml:space="preserve"> having</w:t>
      </w:r>
      <w:r w:rsidR="005E0641" w:rsidRPr="008500F1">
        <w:rPr>
          <w:rFonts w:cstheme="minorHAnsi"/>
        </w:rPr>
        <w:t xml:space="preserve"> insufficient food. </w:t>
      </w:r>
      <w:r w:rsidR="00F20407">
        <w:rPr>
          <w:rFonts w:cstheme="minorHAnsi"/>
        </w:rPr>
        <w:t>Hispanic</w:t>
      </w:r>
      <w:r w:rsidR="00BD568D" w:rsidRPr="008500F1">
        <w:rPr>
          <w:rFonts w:cstheme="minorHAnsi"/>
        </w:rPr>
        <w:t xml:space="preserve"> seniors </w:t>
      </w:r>
      <w:r w:rsidR="005A56A3" w:rsidRPr="008500F1">
        <w:rPr>
          <w:rFonts w:cstheme="minorHAnsi"/>
        </w:rPr>
        <w:t xml:space="preserve">are </w:t>
      </w:r>
      <w:r w:rsidR="00BD568D" w:rsidRPr="008500F1">
        <w:rPr>
          <w:rFonts w:cstheme="minorHAnsi"/>
        </w:rPr>
        <w:t>up to 3 times more</w:t>
      </w:r>
      <w:r w:rsidR="001B2B6C" w:rsidRPr="008500F1">
        <w:rPr>
          <w:rFonts w:cstheme="minorHAnsi"/>
        </w:rPr>
        <w:t xml:space="preserve"> </w:t>
      </w:r>
      <w:r w:rsidR="005A56A3" w:rsidRPr="008500F1">
        <w:rPr>
          <w:rFonts w:cstheme="minorHAnsi"/>
        </w:rPr>
        <w:t>likely</w:t>
      </w:r>
      <w:r w:rsidR="002132D4">
        <w:rPr>
          <w:rFonts w:cstheme="minorHAnsi"/>
        </w:rPr>
        <w:t xml:space="preserve"> and b</w:t>
      </w:r>
      <w:r w:rsidR="002132D4" w:rsidRPr="008500F1">
        <w:rPr>
          <w:rFonts w:cstheme="minorHAnsi"/>
        </w:rPr>
        <w:t>lack seniors are up to 3.8 times more likely</w:t>
      </w:r>
      <w:r w:rsidR="005A56A3" w:rsidRPr="008500F1">
        <w:rPr>
          <w:rFonts w:cstheme="minorHAnsi"/>
        </w:rPr>
        <w:t xml:space="preserve"> </w:t>
      </w:r>
      <w:r w:rsidR="00AE73B0" w:rsidRPr="008500F1">
        <w:rPr>
          <w:rFonts w:cstheme="minorHAnsi"/>
        </w:rPr>
        <w:t xml:space="preserve">than </w:t>
      </w:r>
      <w:r w:rsidR="00BA5C0E">
        <w:rPr>
          <w:rFonts w:cstheme="minorHAnsi"/>
        </w:rPr>
        <w:t xml:space="preserve">Caucasians </w:t>
      </w:r>
      <w:r w:rsidR="00AE73B0" w:rsidRPr="008500F1">
        <w:rPr>
          <w:rFonts w:cstheme="minorHAnsi"/>
        </w:rPr>
        <w:t xml:space="preserve">to </w:t>
      </w:r>
      <w:r w:rsidR="008B6BC1">
        <w:rPr>
          <w:rFonts w:cstheme="minorHAnsi"/>
        </w:rPr>
        <w:t>face</w:t>
      </w:r>
      <w:r w:rsidR="00AE73B0" w:rsidRPr="008500F1">
        <w:rPr>
          <w:rFonts w:cstheme="minorHAnsi"/>
        </w:rPr>
        <w:t xml:space="preserve"> hunger. </w:t>
      </w:r>
      <w:r w:rsidR="00A23624" w:rsidRPr="008500F1">
        <w:rPr>
          <w:rFonts w:cstheme="minorHAnsi"/>
        </w:rPr>
        <w:t>(“The State of Senior Hunger in 2021,”</w:t>
      </w:r>
      <w:r w:rsidR="005B016D" w:rsidRPr="008500F1">
        <w:rPr>
          <w:rFonts w:cstheme="minorHAnsi"/>
        </w:rPr>
        <w:t xml:space="preserve"> 2023</w:t>
      </w:r>
      <w:r w:rsidR="00A23624" w:rsidRPr="008500F1">
        <w:rPr>
          <w:rFonts w:cstheme="minorHAnsi"/>
        </w:rPr>
        <w:t xml:space="preserve">). </w:t>
      </w:r>
      <w:r w:rsidR="000A6157" w:rsidRPr="008500F1">
        <w:rPr>
          <w:rFonts w:cstheme="minorHAnsi"/>
        </w:rPr>
        <w:t>The major reasons for the disparit</w:t>
      </w:r>
      <w:r w:rsidR="00442236" w:rsidRPr="008500F1">
        <w:rPr>
          <w:rFonts w:cstheme="minorHAnsi"/>
        </w:rPr>
        <w:t>ies</w:t>
      </w:r>
      <w:r w:rsidR="000A6157" w:rsidRPr="008500F1">
        <w:rPr>
          <w:rFonts w:cstheme="minorHAnsi"/>
        </w:rPr>
        <w:t xml:space="preserve"> </w:t>
      </w:r>
      <w:r w:rsidR="00442236" w:rsidRPr="008500F1">
        <w:rPr>
          <w:rFonts w:cstheme="minorHAnsi"/>
        </w:rPr>
        <w:t>are</w:t>
      </w:r>
      <w:r w:rsidR="000A6157" w:rsidRPr="008500F1">
        <w:rPr>
          <w:rFonts w:cstheme="minorHAnsi"/>
        </w:rPr>
        <w:t xml:space="preserve"> related to racism and discrimination</w:t>
      </w:r>
      <w:r w:rsidR="009872E7" w:rsidRPr="008500F1">
        <w:rPr>
          <w:rFonts w:cstheme="minorHAnsi"/>
        </w:rPr>
        <w:t xml:space="preserve">. </w:t>
      </w:r>
      <w:r w:rsidR="006F39B1" w:rsidRPr="008500F1">
        <w:rPr>
          <w:rFonts w:cstheme="minorHAnsi"/>
        </w:rPr>
        <w:t xml:space="preserve">Having a </w:t>
      </w:r>
      <w:r w:rsidR="00971646" w:rsidRPr="008500F1">
        <w:rPr>
          <w:rFonts w:cstheme="minorHAnsi"/>
        </w:rPr>
        <w:t xml:space="preserve">disability compounds the problem. </w:t>
      </w:r>
      <w:r w:rsidR="009872E7" w:rsidRPr="008500F1">
        <w:rPr>
          <w:rFonts w:cstheme="minorHAnsi"/>
        </w:rPr>
        <w:t xml:space="preserve">Seniors with </w:t>
      </w:r>
      <w:r w:rsidR="003A0AA8" w:rsidRPr="008500F1">
        <w:rPr>
          <w:rFonts w:cstheme="minorHAnsi"/>
        </w:rPr>
        <w:t>disabilities</w:t>
      </w:r>
      <w:r w:rsidR="009872E7" w:rsidRPr="008500F1">
        <w:rPr>
          <w:rFonts w:cstheme="minorHAnsi"/>
        </w:rPr>
        <w:t xml:space="preserve"> are</w:t>
      </w:r>
      <w:r w:rsidR="00442236" w:rsidRPr="008500F1">
        <w:rPr>
          <w:rFonts w:cstheme="minorHAnsi"/>
        </w:rPr>
        <w:t xml:space="preserve"> 2-</w:t>
      </w:r>
      <w:r w:rsidR="00423FC8" w:rsidRPr="008500F1">
        <w:rPr>
          <w:rFonts w:cstheme="minorHAnsi"/>
        </w:rPr>
        <w:t xml:space="preserve">3 times </w:t>
      </w:r>
      <w:r w:rsidR="00D30222" w:rsidRPr="008500F1">
        <w:rPr>
          <w:rFonts w:cstheme="minorHAnsi"/>
        </w:rPr>
        <w:t xml:space="preserve">as likely to experience </w:t>
      </w:r>
      <w:r w:rsidR="00847B04">
        <w:rPr>
          <w:rFonts w:cstheme="minorHAnsi"/>
        </w:rPr>
        <w:t xml:space="preserve">undernourishment </w:t>
      </w:r>
      <w:r w:rsidR="00E12823" w:rsidRPr="008500F1">
        <w:rPr>
          <w:rFonts w:cstheme="minorHAnsi"/>
        </w:rPr>
        <w:t>as those without disability</w:t>
      </w:r>
      <w:r w:rsidR="00177C93" w:rsidRPr="008500F1">
        <w:rPr>
          <w:rFonts w:cstheme="minorHAnsi"/>
        </w:rPr>
        <w:t xml:space="preserve"> (“The State of Senior Hunger in 2021,”</w:t>
      </w:r>
      <w:r w:rsidR="00E567C1" w:rsidRPr="008500F1">
        <w:rPr>
          <w:rFonts w:cstheme="minorHAnsi"/>
        </w:rPr>
        <w:t xml:space="preserve"> 2023</w:t>
      </w:r>
      <w:r w:rsidR="00177C93" w:rsidRPr="008500F1">
        <w:rPr>
          <w:rFonts w:cstheme="minorHAnsi"/>
        </w:rPr>
        <w:t>).</w:t>
      </w:r>
    </w:p>
    <w:p w14:paraId="34988CED" w14:textId="2C36154E" w:rsidR="00DB530F" w:rsidRPr="008500F1" w:rsidRDefault="007830CA" w:rsidP="00B26733">
      <w:pPr>
        <w:spacing w:after="0" w:line="480" w:lineRule="auto"/>
        <w:jc w:val="center"/>
        <w:rPr>
          <w:rFonts w:cstheme="minorHAnsi"/>
        </w:rPr>
      </w:pPr>
      <w:r w:rsidRPr="008500F1">
        <w:rPr>
          <w:rFonts w:cstheme="minorHAnsi"/>
          <w:b/>
          <w:bCs/>
        </w:rPr>
        <w:t>Evolution of Malnutrition</w:t>
      </w:r>
    </w:p>
    <w:p w14:paraId="678EF9FD" w14:textId="1132063D" w:rsidR="00A15C04" w:rsidRPr="008500F1" w:rsidRDefault="00A15C04" w:rsidP="00B26733">
      <w:pPr>
        <w:spacing w:after="0" w:line="480" w:lineRule="auto"/>
        <w:rPr>
          <w:rFonts w:cstheme="minorHAnsi"/>
        </w:rPr>
      </w:pPr>
      <w:r w:rsidRPr="008500F1">
        <w:rPr>
          <w:rFonts w:cstheme="minorHAnsi"/>
        </w:rPr>
        <w:tab/>
      </w:r>
      <w:r w:rsidR="006B04ED" w:rsidRPr="008500F1">
        <w:rPr>
          <w:rFonts w:cstheme="minorHAnsi"/>
        </w:rPr>
        <w:t xml:space="preserve">The number of adults over sixty-five is </w:t>
      </w:r>
      <w:r w:rsidR="008F7BC6" w:rsidRPr="008500F1">
        <w:rPr>
          <w:rFonts w:cstheme="minorHAnsi"/>
        </w:rPr>
        <w:t>increas</w:t>
      </w:r>
      <w:r w:rsidR="006B04ED" w:rsidRPr="008500F1">
        <w:rPr>
          <w:rFonts w:cstheme="minorHAnsi"/>
        </w:rPr>
        <w:t xml:space="preserve">ing significantly worldwide and is </w:t>
      </w:r>
      <w:r w:rsidR="00EA312D" w:rsidRPr="008500F1">
        <w:rPr>
          <w:rFonts w:cstheme="minorHAnsi"/>
        </w:rPr>
        <w:t>expanding</w:t>
      </w:r>
      <w:r w:rsidR="00EB42AA" w:rsidRPr="008500F1">
        <w:rPr>
          <w:rFonts w:cstheme="minorHAnsi"/>
        </w:rPr>
        <w:t xml:space="preserve"> the fastest of any</w:t>
      </w:r>
      <w:r w:rsidR="006B04ED" w:rsidRPr="008500F1">
        <w:rPr>
          <w:rFonts w:cstheme="minorHAnsi"/>
        </w:rPr>
        <w:t xml:space="preserve"> age</w:t>
      </w:r>
      <w:r w:rsidR="000A7F00" w:rsidRPr="008500F1">
        <w:rPr>
          <w:rFonts w:cstheme="minorHAnsi"/>
        </w:rPr>
        <w:t xml:space="preserve"> group due to longer life spans (Norman et al., 2021). </w:t>
      </w:r>
      <w:r w:rsidR="00952B85" w:rsidRPr="008500F1">
        <w:rPr>
          <w:rFonts w:cstheme="minorHAnsi"/>
        </w:rPr>
        <w:t xml:space="preserve">Older adults are more at risk for malnutrition </w:t>
      </w:r>
      <w:r w:rsidR="003C31CF" w:rsidRPr="008500F1">
        <w:rPr>
          <w:rFonts w:cstheme="minorHAnsi"/>
        </w:rPr>
        <w:t>due to</w:t>
      </w:r>
      <w:r w:rsidR="00952B85" w:rsidRPr="008500F1">
        <w:rPr>
          <w:rFonts w:cstheme="minorHAnsi"/>
        </w:rPr>
        <w:t xml:space="preserve"> </w:t>
      </w:r>
      <w:r w:rsidR="003439A7" w:rsidRPr="008500F1">
        <w:rPr>
          <w:rFonts w:cstheme="minorHAnsi"/>
        </w:rPr>
        <w:t>problems with chewing and swallowing, poor food texture, moving to another place to live</w:t>
      </w:r>
      <w:r w:rsidR="006176AF" w:rsidRPr="008500F1">
        <w:rPr>
          <w:rFonts w:cstheme="minorHAnsi"/>
        </w:rPr>
        <w:t xml:space="preserve"> (</w:t>
      </w:r>
      <w:r w:rsidR="003439A7" w:rsidRPr="008500F1">
        <w:rPr>
          <w:rFonts w:cstheme="minorHAnsi"/>
        </w:rPr>
        <w:t xml:space="preserve">nursing home), </w:t>
      </w:r>
      <w:r w:rsidR="000B3F9E" w:rsidRPr="008500F1">
        <w:rPr>
          <w:rFonts w:cstheme="minorHAnsi"/>
        </w:rPr>
        <w:t xml:space="preserve">fear of choking, depression, decreased social interaction when eating, </w:t>
      </w:r>
      <w:r w:rsidR="00564944" w:rsidRPr="008500F1">
        <w:rPr>
          <w:rFonts w:cstheme="minorHAnsi"/>
        </w:rPr>
        <w:t xml:space="preserve">problems </w:t>
      </w:r>
      <w:r w:rsidR="008D1EDD" w:rsidRPr="008500F1">
        <w:rPr>
          <w:rFonts w:cstheme="minorHAnsi"/>
        </w:rPr>
        <w:t>with</w:t>
      </w:r>
      <w:r w:rsidR="00334B73" w:rsidRPr="008500F1">
        <w:rPr>
          <w:rFonts w:cstheme="minorHAnsi"/>
        </w:rPr>
        <w:t xml:space="preserve"> </w:t>
      </w:r>
      <w:r w:rsidR="00564944" w:rsidRPr="008500F1">
        <w:rPr>
          <w:rFonts w:cstheme="minorHAnsi"/>
        </w:rPr>
        <w:t xml:space="preserve">preparing proper meals or obtaining food, decreases in smell or taste, side effects of medications, </w:t>
      </w:r>
      <w:r w:rsidR="00A73289" w:rsidRPr="008500F1">
        <w:rPr>
          <w:rFonts w:cstheme="minorHAnsi"/>
        </w:rPr>
        <w:t>dependency upon others for food or help in eating, and diminished appetite</w:t>
      </w:r>
      <w:r w:rsidR="00C9576D" w:rsidRPr="008500F1">
        <w:rPr>
          <w:rFonts w:cstheme="minorHAnsi"/>
        </w:rPr>
        <w:t xml:space="preserve"> (</w:t>
      </w:r>
      <w:r w:rsidR="00FE059A" w:rsidRPr="008500F1">
        <w:rPr>
          <w:rFonts w:cstheme="minorHAnsi"/>
        </w:rPr>
        <w:t>Rus</w:t>
      </w:r>
      <w:r w:rsidR="00042985" w:rsidRPr="008500F1">
        <w:rPr>
          <w:rFonts w:cstheme="minorHAnsi"/>
        </w:rPr>
        <w:t>u</w:t>
      </w:r>
      <w:r w:rsidR="00FE059A" w:rsidRPr="008500F1">
        <w:rPr>
          <w:rFonts w:cstheme="minorHAnsi"/>
        </w:rPr>
        <w:t xml:space="preserve"> et al., 2020)</w:t>
      </w:r>
      <w:r w:rsidR="00A73289" w:rsidRPr="008500F1">
        <w:rPr>
          <w:rFonts w:cstheme="minorHAnsi"/>
        </w:rPr>
        <w:t>.</w:t>
      </w:r>
    </w:p>
    <w:p w14:paraId="7896B6C0" w14:textId="1C48FED3" w:rsidR="00572B53" w:rsidRDefault="001B78BA" w:rsidP="00572B53">
      <w:pPr>
        <w:spacing w:after="0" w:line="480" w:lineRule="auto"/>
        <w:jc w:val="center"/>
        <w:rPr>
          <w:rFonts w:cstheme="minorHAnsi"/>
          <w:b/>
          <w:bCs/>
        </w:rPr>
      </w:pPr>
      <w:r w:rsidRPr="008500F1">
        <w:rPr>
          <w:rFonts w:cstheme="minorHAnsi"/>
          <w:b/>
          <w:bCs/>
        </w:rPr>
        <w:t xml:space="preserve">Influence of </w:t>
      </w:r>
      <w:r w:rsidR="001253F1" w:rsidRPr="008500F1">
        <w:rPr>
          <w:rFonts w:cstheme="minorHAnsi"/>
          <w:b/>
          <w:bCs/>
        </w:rPr>
        <w:t xml:space="preserve">Family and </w:t>
      </w:r>
      <w:r w:rsidRPr="008500F1">
        <w:rPr>
          <w:rFonts w:cstheme="minorHAnsi"/>
          <w:b/>
          <w:bCs/>
        </w:rPr>
        <w:t>Other Age Groups</w:t>
      </w:r>
    </w:p>
    <w:p w14:paraId="688CD6D2" w14:textId="5195C98F" w:rsidR="00284CE5" w:rsidRPr="00284CE5" w:rsidRDefault="00284CE5" w:rsidP="00284CE5">
      <w:pPr>
        <w:spacing w:after="0" w:line="480" w:lineRule="auto"/>
        <w:rPr>
          <w:rFonts w:cstheme="minorHAnsi"/>
        </w:rPr>
      </w:pPr>
      <w:r>
        <w:rPr>
          <w:rFonts w:cstheme="minorHAnsi"/>
        </w:rPr>
        <w:tab/>
      </w:r>
      <w:r w:rsidRPr="008500F1">
        <w:rPr>
          <w:rFonts w:cstheme="minorHAnsi"/>
        </w:rPr>
        <w:t>Older adults are outpacing the population of children, youth, and young adults. It is estimated</w:t>
      </w:r>
    </w:p>
    <w:p w14:paraId="5C86E79E" w14:textId="59D7C249" w:rsidR="00E90212" w:rsidRPr="008500F1" w:rsidRDefault="00651C81" w:rsidP="00572B53">
      <w:pPr>
        <w:spacing w:after="0" w:line="480" w:lineRule="auto"/>
        <w:rPr>
          <w:rFonts w:cstheme="minorHAnsi"/>
          <w:b/>
          <w:bCs/>
        </w:rPr>
      </w:pPr>
      <w:r w:rsidRPr="008500F1">
        <w:rPr>
          <w:rFonts w:cstheme="minorHAnsi"/>
        </w:rPr>
        <w:lastRenderedPageBreak/>
        <w:t>that by</w:t>
      </w:r>
      <w:r w:rsidR="008A7A1A" w:rsidRPr="008500F1">
        <w:rPr>
          <w:rFonts w:cstheme="minorHAnsi"/>
        </w:rPr>
        <w:t xml:space="preserve"> 20</w:t>
      </w:r>
      <w:r w:rsidR="00984226" w:rsidRPr="008500F1">
        <w:rPr>
          <w:rFonts w:cstheme="minorHAnsi"/>
        </w:rPr>
        <w:t>5</w:t>
      </w:r>
      <w:r w:rsidR="008A7A1A" w:rsidRPr="008500F1">
        <w:rPr>
          <w:rFonts w:cstheme="minorHAnsi"/>
        </w:rPr>
        <w:t>0, the num</w:t>
      </w:r>
      <w:r w:rsidRPr="008500F1">
        <w:rPr>
          <w:rFonts w:cstheme="minorHAnsi"/>
        </w:rPr>
        <w:t>ber of older adults will be t</w:t>
      </w:r>
      <w:r w:rsidR="00950E65" w:rsidRPr="008500F1">
        <w:rPr>
          <w:rFonts w:cstheme="minorHAnsi"/>
        </w:rPr>
        <w:t>wo times</w:t>
      </w:r>
      <w:r w:rsidRPr="008500F1">
        <w:rPr>
          <w:rFonts w:cstheme="minorHAnsi"/>
        </w:rPr>
        <w:t xml:space="preserve"> the number of children </w:t>
      </w:r>
      <w:r w:rsidR="005330E6" w:rsidRPr="008500F1">
        <w:rPr>
          <w:rFonts w:cstheme="minorHAnsi"/>
        </w:rPr>
        <w:t>under five and higher</w:t>
      </w:r>
      <w:r w:rsidR="00F020CA">
        <w:rPr>
          <w:rFonts w:cstheme="minorHAnsi"/>
        </w:rPr>
        <w:t xml:space="preserve"> </w:t>
      </w:r>
      <w:r w:rsidR="005330E6" w:rsidRPr="008500F1">
        <w:rPr>
          <w:rFonts w:cstheme="minorHAnsi"/>
        </w:rPr>
        <w:t>than the number of people aged 15-24</w:t>
      </w:r>
      <w:r w:rsidR="00C079E3" w:rsidRPr="008500F1">
        <w:rPr>
          <w:rFonts w:cstheme="minorHAnsi"/>
        </w:rPr>
        <w:t xml:space="preserve"> (Norman et al., </w:t>
      </w:r>
      <w:r w:rsidR="00DA37EF" w:rsidRPr="008500F1">
        <w:rPr>
          <w:rFonts w:cstheme="minorHAnsi"/>
        </w:rPr>
        <w:t>2021)</w:t>
      </w:r>
      <w:r w:rsidR="005330E6" w:rsidRPr="008500F1">
        <w:rPr>
          <w:rFonts w:cstheme="minorHAnsi"/>
        </w:rPr>
        <w:t>.</w:t>
      </w:r>
      <w:r w:rsidR="00C40F02" w:rsidRPr="008500F1">
        <w:rPr>
          <w:rFonts w:cstheme="minorHAnsi"/>
        </w:rPr>
        <w:t xml:space="preserve"> </w:t>
      </w:r>
      <w:r w:rsidR="0075152F" w:rsidRPr="008500F1">
        <w:rPr>
          <w:rFonts w:cstheme="minorHAnsi"/>
        </w:rPr>
        <w:t xml:space="preserve">Malnutrition can affect all age groups. </w:t>
      </w:r>
      <w:r w:rsidR="002D0182" w:rsidRPr="008500F1">
        <w:rPr>
          <w:rFonts w:cstheme="minorHAnsi"/>
        </w:rPr>
        <w:t xml:space="preserve">In children, </w:t>
      </w:r>
      <w:r w:rsidR="0075152F" w:rsidRPr="008500F1">
        <w:rPr>
          <w:rFonts w:cstheme="minorHAnsi"/>
        </w:rPr>
        <w:t xml:space="preserve">it </w:t>
      </w:r>
      <w:r w:rsidR="0017109F" w:rsidRPr="008500F1">
        <w:rPr>
          <w:rFonts w:cstheme="minorHAnsi"/>
        </w:rPr>
        <w:t xml:space="preserve">can lead to abnormal </w:t>
      </w:r>
      <w:r w:rsidR="00BB0542" w:rsidRPr="008500F1">
        <w:rPr>
          <w:rFonts w:cstheme="minorHAnsi"/>
        </w:rPr>
        <w:t xml:space="preserve">maturation. </w:t>
      </w:r>
      <w:r w:rsidR="0013359B" w:rsidRPr="008500F1">
        <w:rPr>
          <w:rFonts w:cstheme="minorHAnsi"/>
        </w:rPr>
        <w:t xml:space="preserve">Malnourished pregnant women can give birth to </w:t>
      </w:r>
      <w:r w:rsidR="009958C3" w:rsidRPr="008500F1">
        <w:rPr>
          <w:rFonts w:cstheme="minorHAnsi"/>
        </w:rPr>
        <w:t>low-birth-weight</w:t>
      </w:r>
      <w:r w:rsidR="0013359B" w:rsidRPr="008500F1">
        <w:rPr>
          <w:rFonts w:cstheme="minorHAnsi"/>
        </w:rPr>
        <w:t xml:space="preserve"> infants.</w:t>
      </w:r>
      <w:r w:rsidR="009958C3" w:rsidRPr="008500F1">
        <w:rPr>
          <w:rFonts w:cstheme="minorHAnsi"/>
        </w:rPr>
        <w:t xml:space="preserve"> In the elderly, malnutrition results in disease and disability and increased need for medical care (</w:t>
      </w:r>
      <w:r w:rsidR="0075152F" w:rsidRPr="008500F1">
        <w:rPr>
          <w:rFonts w:cstheme="minorHAnsi"/>
        </w:rPr>
        <w:t>Nakad and Kondo, 2020)</w:t>
      </w:r>
      <w:r w:rsidR="009958C3" w:rsidRPr="008500F1">
        <w:rPr>
          <w:rFonts w:cstheme="minorHAnsi"/>
        </w:rPr>
        <w:t>.</w:t>
      </w:r>
      <w:r w:rsidR="0013359B" w:rsidRPr="008500F1">
        <w:rPr>
          <w:rFonts w:cstheme="minorHAnsi"/>
        </w:rPr>
        <w:t xml:space="preserve"> </w:t>
      </w:r>
      <w:r w:rsidR="009A6141" w:rsidRPr="008500F1">
        <w:rPr>
          <w:rFonts w:cstheme="minorHAnsi"/>
        </w:rPr>
        <w:t xml:space="preserve">Senior adults are </w:t>
      </w:r>
      <w:r w:rsidR="003F5B09" w:rsidRPr="008500F1">
        <w:rPr>
          <w:rFonts w:cstheme="minorHAnsi"/>
        </w:rPr>
        <w:t xml:space="preserve">two times </w:t>
      </w:r>
      <w:r w:rsidR="009A6141" w:rsidRPr="008500F1">
        <w:rPr>
          <w:rFonts w:cstheme="minorHAnsi"/>
        </w:rPr>
        <w:t xml:space="preserve">more at risk for malnutrition when </w:t>
      </w:r>
      <w:r w:rsidR="00A53CEC" w:rsidRPr="008500F1">
        <w:rPr>
          <w:rFonts w:cstheme="minorHAnsi"/>
        </w:rPr>
        <w:t>living</w:t>
      </w:r>
      <w:r w:rsidR="009A6141" w:rsidRPr="008500F1">
        <w:rPr>
          <w:rFonts w:cstheme="minorHAnsi"/>
        </w:rPr>
        <w:t xml:space="preserve"> in</w:t>
      </w:r>
      <w:r w:rsidR="004F5346" w:rsidRPr="008500F1">
        <w:rPr>
          <w:rFonts w:cstheme="minorHAnsi"/>
        </w:rPr>
        <w:t xml:space="preserve"> homes with multiple generations</w:t>
      </w:r>
      <w:r w:rsidR="008C2C08" w:rsidRPr="008500F1">
        <w:rPr>
          <w:rFonts w:cstheme="minorHAnsi"/>
        </w:rPr>
        <w:t xml:space="preserve"> rather than in homes without children</w:t>
      </w:r>
      <w:r w:rsidR="00826734" w:rsidRPr="008500F1">
        <w:rPr>
          <w:rFonts w:cstheme="minorHAnsi"/>
        </w:rPr>
        <w:t xml:space="preserve"> due to</w:t>
      </w:r>
      <w:r w:rsidR="00B77EC4" w:rsidRPr="008500F1">
        <w:rPr>
          <w:rFonts w:cstheme="minorHAnsi"/>
        </w:rPr>
        <w:t xml:space="preserve"> </w:t>
      </w:r>
      <w:r w:rsidR="0093319E" w:rsidRPr="008500F1">
        <w:rPr>
          <w:rFonts w:cstheme="minorHAnsi"/>
        </w:rPr>
        <w:t>limited</w:t>
      </w:r>
      <w:r w:rsidR="003456DD" w:rsidRPr="008500F1">
        <w:rPr>
          <w:rFonts w:cstheme="minorHAnsi"/>
        </w:rPr>
        <w:t xml:space="preserve"> financia</w:t>
      </w:r>
      <w:r w:rsidR="00A53CEC" w:rsidRPr="008500F1">
        <w:rPr>
          <w:rFonts w:cstheme="minorHAnsi"/>
        </w:rPr>
        <w:t>l resources</w:t>
      </w:r>
      <w:r w:rsidR="0093319E" w:rsidRPr="008500F1">
        <w:rPr>
          <w:rFonts w:cstheme="minorHAnsi"/>
        </w:rPr>
        <w:t>,</w:t>
      </w:r>
      <w:r w:rsidR="00B77EC4" w:rsidRPr="008500F1">
        <w:rPr>
          <w:rFonts w:cstheme="minorHAnsi"/>
        </w:rPr>
        <w:t xml:space="preserve"> and the needs of the children </w:t>
      </w:r>
      <w:r w:rsidR="0084525E">
        <w:rPr>
          <w:rFonts w:cstheme="minorHAnsi"/>
        </w:rPr>
        <w:t xml:space="preserve">are </w:t>
      </w:r>
      <w:r w:rsidR="00B77EC4" w:rsidRPr="008500F1">
        <w:rPr>
          <w:rFonts w:cstheme="minorHAnsi"/>
        </w:rPr>
        <w:t>often put before those of the seniors</w:t>
      </w:r>
      <w:r w:rsidR="00642F51" w:rsidRPr="008500F1">
        <w:rPr>
          <w:rFonts w:cstheme="minorHAnsi"/>
        </w:rPr>
        <w:t xml:space="preserve"> (</w:t>
      </w:r>
      <w:r w:rsidR="0064049F" w:rsidRPr="008500F1">
        <w:rPr>
          <w:rFonts w:cstheme="minorHAnsi"/>
        </w:rPr>
        <w:t>“The State of Senior Hunger in 2021</w:t>
      </w:r>
      <w:r w:rsidR="00726F04" w:rsidRPr="008500F1">
        <w:rPr>
          <w:rFonts w:cstheme="minorHAnsi"/>
        </w:rPr>
        <w:t>,” 2023)</w:t>
      </w:r>
      <w:r w:rsidR="00B77EC4" w:rsidRPr="008500F1">
        <w:rPr>
          <w:rFonts w:cstheme="minorHAnsi"/>
        </w:rPr>
        <w:t>.</w:t>
      </w:r>
      <w:r w:rsidR="00ED60B0" w:rsidRPr="008500F1">
        <w:rPr>
          <w:rFonts w:cstheme="minorHAnsi"/>
        </w:rPr>
        <w:t xml:space="preserve"> </w:t>
      </w:r>
    </w:p>
    <w:p w14:paraId="55EC740E" w14:textId="42E5506A" w:rsidR="0093319E" w:rsidRPr="008500F1" w:rsidRDefault="00514407" w:rsidP="00B26733">
      <w:pPr>
        <w:spacing w:after="0" w:line="480" w:lineRule="auto"/>
        <w:jc w:val="center"/>
        <w:rPr>
          <w:rFonts w:cstheme="minorHAnsi"/>
        </w:rPr>
      </w:pPr>
      <w:r w:rsidRPr="008500F1">
        <w:rPr>
          <w:rFonts w:cstheme="minorHAnsi"/>
          <w:b/>
          <w:bCs/>
        </w:rPr>
        <w:t>Community</w:t>
      </w:r>
      <w:r w:rsidR="007E25B0" w:rsidRPr="008500F1">
        <w:rPr>
          <w:rFonts w:cstheme="minorHAnsi"/>
          <w:b/>
          <w:bCs/>
        </w:rPr>
        <w:t xml:space="preserve"> Impact</w:t>
      </w:r>
    </w:p>
    <w:p w14:paraId="4201E0AF" w14:textId="1B8DD147" w:rsidR="00514407" w:rsidRPr="008500F1" w:rsidRDefault="00017E35" w:rsidP="00B26733">
      <w:pPr>
        <w:spacing w:after="0" w:line="480" w:lineRule="auto"/>
        <w:rPr>
          <w:rFonts w:cstheme="minorHAnsi"/>
        </w:rPr>
      </w:pPr>
      <w:r w:rsidRPr="008500F1">
        <w:rPr>
          <w:rFonts w:cstheme="minorHAnsi"/>
        </w:rPr>
        <w:tab/>
      </w:r>
      <w:r w:rsidR="00140437" w:rsidRPr="008500F1">
        <w:rPr>
          <w:rFonts w:cstheme="minorHAnsi"/>
        </w:rPr>
        <w:t>The different regions</w:t>
      </w:r>
      <w:r w:rsidR="00061577" w:rsidRPr="008500F1">
        <w:rPr>
          <w:rFonts w:cstheme="minorHAnsi"/>
        </w:rPr>
        <w:t xml:space="preserve"> that seniors live</w:t>
      </w:r>
      <w:r w:rsidR="00F8144E" w:rsidRPr="008500F1">
        <w:rPr>
          <w:rFonts w:cstheme="minorHAnsi"/>
        </w:rPr>
        <w:t xml:space="preserve"> in</w:t>
      </w:r>
      <w:r w:rsidR="00061577" w:rsidRPr="008500F1">
        <w:rPr>
          <w:rFonts w:cstheme="minorHAnsi"/>
        </w:rPr>
        <w:t xml:space="preserve"> </w:t>
      </w:r>
      <w:r w:rsidR="00642F51" w:rsidRPr="008500F1">
        <w:rPr>
          <w:rFonts w:cstheme="minorHAnsi"/>
        </w:rPr>
        <w:t xml:space="preserve">have a </w:t>
      </w:r>
      <w:r w:rsidR="00726F04" w:rsidRPr="008500F1">
        <w:rPr>
          <w:rFonts w:cstheme="minorHAnsi"/>
        </w:rPr>
        <w:t xml:space="preserve">significant influence upon their nutritional status. </w:t>
      </w:r>
      <w:r w:rsidR="00E878E0" w:rsidRPr="008500F1">
        <w:rPr>
          <w:rFonts w:cstheme="minorHAnsi"/>
        </w:rPr>
        <w:t xml:space="preserve">In the United States, </w:t>
      </w:r>
      <w:r w:rsidR="004970E5" w:rsidRPr="008500F1">
        <w:rPr>
          <w:rFonts w:cstheme="minorHAnsi"/>
        </w:rPr>
        <w:t xml:space="preserve">rates for </w:t>
      </w:r>
      <w:r w:rsidR="00E878E0" w:rsidRPr="008500F1">
        <w:rPr>
          <w:rFonts w:cstheme="minorHAnsi"/>
        </w:rPr>
        <w:t xml:space="preserve">food insecurity </w:t>
      </w:r>
      <w:r w:rsidR="00590B18" w:rsidRPr="008500F1">
        <w:rPr>
          <w:rFonts w:cstheme="minorHAnsi"/>
        </w:rPr>
        <w:t xml:space="preserve">among </w:t>
      </w:r>
      <w:r w:rsidR="00C24CEA" w:rsidRPr="008500F1">
        <w:rPr>
          <w:rFonts w:cstheme="minorHAnsi"/>
        </w:rPr>
        <w:t>s</w:t>
      </w:r>
      <w:r w:rsidR="00590B18" w:rsidRPr="008500F1">
        <w:rPr>
          <w:rFonts w:cstheme="minorHAnsi"/>
        </w:rPr>
        <w:t xml:space="preserve">enior adults </w:t>
      </w:r>
      <w:r w:rsidR="00E878E0" w:rsidRPr="008500F1">
        <w:rPr>
          <w:rFonts w:cstheme="minorHAnsi"/>
        </w:rPr>
        <w:t xml:space="preserve">ranged from </w:t>
      </w:r>
      <w:r w:rsidR="001E3F28" w:rsidRPr="008500F1">
        <w:rPr>
          <w:rFonts w:cstheme="minorHAnsi"/>
        </w:rPr>
        <w:t xml:space="preserve">2.8% in North Dakota to </w:t>
      </w:r>
      <w:r w:rsidR="00590B18" w:rsidRPr="008500F1">
        <w:rPr>
          <w:rFonts w:cstheme="minorHAnsi"/>
        </w:rPr>
        <w:t>1</w:t>
      </w:r>
      <w:r w:rsidR="00D8403A" w:rsidRPr="008500F1">
        <w:rPr>
          <w:rFonts w:cstheme="minorHAnsi"/>
        </w:rPr>
        <w:t>9.8</w:t>
      </w:r>
      <w:r w:rsidR="00590B18" w:rsidRPr="008500F1">
        <w:rPr>
          <w:rFonts w:cstheme="minorHAnsi"/>
        </w:rPr>
        <w:t xml:space="preserve">% in </w:t>
      </w:r>
      <w:r w:rsidR="00D8403A" w:rsidRPr="008500F1">
        <w:rPr>
          <w:rFonts w:cstheme="minorHAnsi"/>
        </w:rPr>
        <w:t>Ar</w:t>
      </w:r>
      <w:r w:rsidR="003F024B" w:rsidRPr="008500F1">
        <w:rPr>
          <w:rFonts w:cstheme="minorHAnsi"/>
        </w:rPr>
        <w:t>k</w:t>
      </w:r>
      <w:r w:rsidR="00D8403A" w:rsidRPr="008500F1">
        <w:rPr>
          <w:rFonts w:cstheme="minorHAnsi"/>
        </w:rPr>
        <w:t>ansas</w:t>
      </w:r>
      <w:r w:rsidR="00937849" w:rsidRPr="008500F1">
        <w:rPr>
          <w:rFonts w:cstheme="minorHAnsi"/>
        </w:rPr>
        <w:t xml:space="preserve">. </w:t>
      </w:r>
      <w:r w:rsidR="00CA1B64" w:rsidRPr="008500F1">
        <w:rPr>
          <w:rFonts w:cstheme="minorHAnsi"/>
        </w:rPr>
        <w:t xml:space="preserve">The states with </w:t>
      </w:r>
      <w:r w:rsidR="004B7457" w:rsidRPr="008500F1">
        <w:rPr>
          <w:rFonts w:cstheme="minorHAnsi"/>
        </w:rPr>
        <w:t xml:space="preserve">the highest number of </w:t>
      </w:r>
      <w:r w:rsidR="00CA1B64" w:rsidRPr="008500F1">
        <w:rPr>
          <w:rFonts w:cstheme="minorHAnsi"/>
        </w:rPr>
        <w:t>senior</w:t>
      </w:r>
      <w:r w:rsidR="004B7457" w:rsidRPr="008500F1">
        <w:rPr>
          <w:rFonts w:cstheme="minorHAnsi"/>
        </w:rPr>
        <w:t>s experiencing</w:t>
      </w:r>
      <w:r w:rsidR="00CA1B64" w:rsidRPr="008500F1">
        <w:rPr>
          <w:rFonts w:cstheme="minorHAnsi"/>
        </w:rPr>
        <w:t xml:space="preserve"> food</w:t>
      </w:r>
      <w:r w:rsidR="00E977D1" w:rsidRPr="008500F1">
        <w:rPr>
          <w:rFonts w:cstheme="minorHAnsi"/>
        </w:rPr>
        <w:t xml:space="preserve"> deficiency</w:t>
      </w:r>
      <w:r w:rsidR="00606849" w:rsidRPr="008500F1">
        <w:rPr>
          <w:rFonts w:cstheme="minorHAnsi"/>
        </w:rPr>
        <w:t xml:space="preserve"> occurred in the South</w:t>
      </w:r>
      <w:r w:rsidR="00372DE3" w:rsidRPr="008500F1">
        <w:rPr>
          <w:rFonts w:cstheme="minorHAnsi"/>
        </w:rPr>
        <w:t xml:space="preserve"> (</w:t>
      </w:r>
      <w:r w:rsidR="00317580" w:rsidRPr="008500F1">
        <w:rPr>
          <w:rFonts w:cstheme="minorHAnsi"/>
        </w:rPr>
        <w:t>“The State of Senior Hunger in 2021,” 2023).</w:t>
      </w:r>
      <w:r w:rsidR="002142C5" w:rsidRPr="008500F1">
        <w:rPr>
          <w:rFonts w:cstheme="minorHAnsi"/>
        </w:rPr>
        <w:t xml:space="preserve"> </w:t>
      </w:r>
      <w:r w:rsidR="00F33AA0" w:rsidRPr="008500F1">
        <w:rPr>
          <w:rFonts w:cstheme="minorHAnsi"/>
        </w:rPr>
        <w:t>These states often have a large elderly population due to the warm climate.</w:t>
      </w:r>
      <w:r w:rsidR="00192B91" w:rsidRPr="008500F1">
        <w:rPr>
          <w:rFonts w:cstheme="minorHAnsi"/>
        </w:rPr>
        <w:t xml:space="preserve"> </w:t>
      </w:r>
      <w:r w:rsidR="002142C5" w:rsidRPr="008500F1">
        <w:rPr>
          <w:rFonts w:cstheme="minorHAnsi"/>
        </w:rPr>
        <w:t>M</w:t>
      </w:r>
      <w:r w:rsidR="00192B91" w:rsidRPr="008500F1">
        <w:rPr>
          <w:rFonts w:cstheme="minorHAnsi"/>
        </w:rPr>
        <w:t>any</w:t>
      </w:r>
      <w:r w:rsidR="002142C5" w:rsidRPr="008500F1">
        <w:rPr>
          <w:rFonts w:cstheme="minorHAnsi"/>
        </w:rPr>
        <w:t xml:space="preserve"> of these states have limited resources due to </w:t>
      </w:r>
      <w:r w:rsidR="00D768D8" w:rsidRPr="008500F1">
        <w:rPr>
          <w:rFonts w:cstheme="minorHAnsi"/>
        </w:rPr>
        <w:t>a large poverty rate</w:t>
      </w:r>
      <w:r w:rsidR="00B70B78" w:rsidRPr="008500F1">
        <w:rPr>
          <w:rFonts w:cstheme="minorHAnsi"/>
        </w:rPr>
        <w:t xml:space="preserve"> </w:t>
      </w:r>
      <w:r w:rsidR="004F5823" w:rsidRPr="008500F1">
        <w:rPr>
          <w:rFonts w:cstheme="minorHAnsi"/>
        </w:rPr>
        <w:t xml:space="preserve">and have difficulty meeting the needs of all age groups. </w:t>
      </w:r>
      <w:r w:rsidR="00B70B78" w:rsidRPr="008500F1">
        <w:rPr>
          <w:rFonts w:cstheme="minorHAnsi"/>
        </w:rPr>
        <w:t>(Hales et al., 2023)</w:t>
      </w:r>
      <w:r w:rsidR="00D768D8" w:rsidRPr="008500F1">
        <w:rPr>
          <w:rFonts w:cstheme="minorHAnsi"/>
        </w:rPr>
        <w:t>.</w:t>
      </w:r>
    </w:p>
    <w:p w14:paraId="2D7C5448" w14:textId="0682E126" w:rsidR="00FF0DB3" w:rsidRPr="008500F1" w:rsidRDefault="00317580" w:rsidP="00B26733">
      <w:pPr>
        <w:spacing w:after="0" w:line="480" w:lineRule="auto"/>
        <w:rPr>
          <w:rFonts w:cstheme="minorHAnsi"/>
        </w:rPr>
      </w:pPr>
      <w:r w:rsidRPr="008500F1">
        <w:rPr>
          <w:rFonts w:cstheme="minorHAnsi"/>
        </w:rPr>
        <w:tab/>
      </w:r>
      <w:r w:rsidR="00B32063" w:rsidRPr="008500F1">
        <w:rPr>
          <w:rFonts w:cstheme="minorHAnsi"/>
        </w:rPr>
        <w:t xml:space="preserve">Culture is another factor affecting nutrition in the elderly. </w:t>
      </w:r>
      <w:r w:rsidR="00DA1502" w:rsidRPr="008500F1">
        <w:rPr>
          <w:rFonts w:cstheme="minorHAnsi"/>
        </w:rPr>
        <w:t>People are nostalgic about the foods they ate when younger</w:t>
      </w:r>
      <w:r w:rsidR="008E3292" w:rsidRPr="008500F1">
        <w:rPr>
          <w:rFonts w:cstheme="minorHAnsi"/>
        </w:rPr>
        <w:t xml:space="preserve">. </w:t>
      </w:r>
      <w:r w:rsidR="009F2DCF" w:rsidRPr="008500F1">
        <w:rPr>
          <w:rFonts w:cstheme="minorHAnsi"/>
        </w:rPr>
        <w:t xml:space="preserve">They hold a lot of memories of </w:t>
      </w:r>
      <w:r w:rsidR="009F64D8" w:rsidRPr="008500F1">
        <w:rPr>
          <w:rFonts w:cstheme="minorHAnsi"/>
        </w:rPr>
        <w:t>tra</w:t>
      </w:r>
      <w:r w:rsidR="00C00C4F" w:rsidRPr="008500F1">
        <w:rPr>
          <w:rFonts w:cstheme="minorHAnsi"/>
        </w:rPr>
        <w:t xml:space="preserve">ditional </w:t>
      </w:r>
      <w:r w:rsidR="009F2DCF" w:rsidRPr="008500F1">
        <w:rPr>
          <w:rFonts w:cstheme="minorHAnsi"/>
        </w:rPr>
        <w:t xml:space="preserve">food and </w:t>
      </w:r>
      <w:r w:rsidR="00876B90" w:rsidRPr="008500F1">
        <w:rPr>
          <w:rFonts w:cstheme="minorHAnsi"/>
        </w:rPr>
        <w:t>celebrations,</w:t>
      </w:r>
      <w:r w:rsidR="009F2DCF" w:rsidRPr="008500F1">
        <w:rPr>
          <w:rFonts w:cstheme="minorHAnsi"/>
        </w:rPr>
        <w:t xml:space="preserve"> and</w:t>
      </w:r>
      <w:r w:rsidR="00CA4849" w:rsidRPr="008500F1">
        <w:rPr>
          <w:rFonts w:cstheme="minorHAnsi"/>
        </w:rPr>
        <w:t xml:space="preserve"> their appetite may be affected by </w:t>
      </w:r>
      <w:r w:rsidR="009A43D4" w:rsidRPr="008500F1">
        <w:rPr>
          <w:rFonts w:cstheme="minorHAnsi"/>
        </w:rPr>
        <w:t>a lack</w:t>
      </w:r>
      <w:r w:rsidR="00CA4849" w:rsidRPr="008500F1">
        <w:rPr>
          <w:rFonts w:cstheme="minorHAnsi"/>
        </w:rPr>
        <w:t xml:space="preserve"> of socialization during </w:t>
      </w:r>
      <w:r w:rsidR="0054282C" w:rsidRPr="008500F1">
        <w:rPr>
          <w:rFonts w:cstheme="minorHAnsi"/>
        </w:rPr>
        <w:t>meals</w:t>
      </w:r>
      <w:r w:rsidR="00FC708A" w:rsidRPr="008500F1">
        <w:rPr>
          <w:rFonts w:cstheme="minorHAnsi"/>
        </w:rPr>
        <w:t xml:space="preserve"> or from sadness due to loss.</w:t>
      </w:r>
      <w:r w:rsidR="0054282C" w:rsidRPr="008500F1">
        <w:rPr>
          <w:rFonts w:cstheme="minorHAnsi"/>
        </w:rPr>
        <w:t xml:space="preserve"> </w:t>
      </w:r>
      <w:r w:rsidR="005B47F9" w:rsidRPr="008500F1">
        <w:rPr>
          <w:rFonts w:cstheme="minorHAnsi"/>
        </w:rPr>
        <w:t xml:space="preserve">Many </w:t>
      </w:r>
      <w:r w:rsidR="007468C1" w:rsidRPr="008500F1">
        <w:rPr>
          <w:rFonts w:cstheme="minorHAnsi"/>
        </w:rPr>
        <w:t>times,</w:t>
      </w:r>
      <w:r w:rsidR="005B47F9" w:rsidRPr="008500F1">
        <w:rPr>
          <w:rFonts w:cstheme="minorHAnsi"/>
        </w:rPr>
        <w:t xml:space="preserve"> older people have little desire to eat because the</w:t>
      </w:r>
      <w:r w:rsidR="009C1E96" w:rsidRPr="008500F1">
        <w:rPr>
          <w:rFonts w:cstheme="minorHAnsi"/>
        </w:rPr>
        <w:t xml:space="preserve"> foods </w:t>
      </w:r>
      <w:r w:rsidR="00781BA0" w:rsidRPr="008500F1">
        <w:rPr>
          <w:rFonts w:cstheme="minorHAnsi"/>
        </w:rPr>
        <w:t>they have access to</w:t>
      </w:r>
      <w:r w:rsidR="009C1E96" w:rsidRPr="008500F1">
        <w:rPr>
          <w:rFonts w:cstheme="minorHAnsi"/>
        </w:rPr>
        <w:t xml:space="preserve"> are nothing like the </w:t>
      </w:r>
      <w:r w:rsidR="00970373" w:rsidRPr="008500F1">
        <w:rPr>
          <w:rFonts w:cstheme="minorHAnsi"/>
        </w:rPr>
        <w:t xml:space="preserve">traditional, </w:t>
      </w:r>
      <w:r w:rsidR="007468C1" w:rsidRPr="008500F1">
        <w:rPr>
          <w:rFonts w:cstheme="minorHAnsi"/>
        </w:rPr>
        <w:t>cultural</w:t>
      </w:r>
      <w:r w:rsidR="004E7199" w:rsidRPr="008500F1">
        <w:rPr>
          <w:rFonts w:cstheme="minorHAnsi"/>
        </w:rPr>
        <w:t xml:space="preserve"> foods they are used to eating. </w:t>
      </w:r>
      <w:r w:rsidR="00970373" w:rsidRPr="008500F1">
        <w:rPr>
          <w:rFonts w:cstheme="minorHAnsi"/>
        </w:rPr>
        <w:t xml:space="preserve"> </w:t>
      </w:r>
      <w:r w:rsidR="00345201" w:rsidRPr="008500F1">
        <w:rPr>
          <w:rFonts w:cstheme="minorHAnsi"/>
        </w:rPr>
        <w:t>F</w:t>
      </w:r>
      <w:r w:rsidR="002E6C8B" w:rsidRPr="008500F1">
        <w:rPr>
          <w:rFonts w:cstheme="minorHAnsi"/>
        </w:rPr>
        <w:t xml:space="preserve">resh fruits and vegetables are often unobtainable due to inability to garden or </w:t>
      </w:r>
      <w:r w:rsidR="00EC6B4F" w:rsidRPr="008500F1">
        <w:rPr>
          <w:rFonts w:cstheme="minorHAnsi"/>
        </w:rPr>
        <w:t xml:space="preserve">attend a farmer’s market. </w:t>
      </w:r>
      <w:r w:rsidR="00970373" w:rsidRPr="008500F1">
        <w:rPr>
          <w:rFonts w:cstheme="minorHAnsi"/>
        </w:rPr>
        <w:t>Nutrition</w:t>
      </w:r>
      <w:r w:rsidR="0054282C" w:rsidRPr="008500F1">
        <w:rPr>
          <w:rFonts w:cstheme="minorHAnsi"/>
        </w:rPr>
        <w:t xml:space="preserve"> can be affected</w:t>
      </w:r>
      <w:r w:rsidR="0097649B" w:rsidRPr="008500F1">
        <w:rPr>
          <w:rFonts w:cstheme="minorHAnsi"/>
        </w:rPr>
        <w:t xml:space="preserve"> not only</w:t>
      </w:r>
      <w:r w:rsidR="0054282C" w:rsidRPr="008500F1">
        <w:rPr>
          <w:rFonts w:cstheme="minorHAnsi"/>
        </w:rPr>
        <w:t xml:space="preserve"> by </w:t>
      </w:r>
      <w:r w:rsidR="00BD6E91" w:rsidRPr="008500F1">
        <w:rPr>
          <w:rFonts w:cstheme="minorHAnsi"/>
        </w:rPr>
        <w:t>desire for</w:t>
      </w:r>
      <w:r w:rsidR="006D3BC3" w:rsidRPr="008500F1">
        <w:rPr>
          <w:rFonts w:cstheme="minorHAnsi"/>
        </w:rPr>
        <w:t xml:space="preserve"> </w:t>
      </w:r>
      <w:r w:rsidR="004906E5" w:rsidRPr="008500F1">
        <w:rPr>
          <w:rFonts w:cstheme="minorHAnsi"/>
        </w:rPr>
        <w:t>traditional</w:t>
      </w:r>
      <w:r w:rsidR="006D3BC3" w:rsidRPr="008500F1">
        <w:rPr>
          <w:rFonts w:cstheme="minorHAnsi"/>
        </w:rPr>
        <w:t xml:space="preserve"> </w:t>
      </w:r>
      <w:r w:rsidR="00FF79CF" w:rsidRPr="008500F1">
        <w:rPr>
          <w:rFonts w:cstheme="minorHAnsi"/>
        </w:rPr>
        <w:t>and</w:t>
      </w:r>
      <w:r w:rsidR="00554389" w:rsidRPr="008500F1">
        <w:rPr>
          <w:rFonts w:cstheme="minorHAnsi"/>
        </w:rPr>
        <w:t xml:space="preserve"> </w:t>
      </w:r>
      <w:r w:rsidR="00447772" w:rsidRPr="008500F1">
        <w:rPr>
          <w:rFonts w:cstheme="minorHAnsi"/>
        </w:rPr>
        <w:t>unprocessed</w:t>
      </w:r>
      <w:r w:rsidR="00443F6E" w:rsidRPr="008500F1">
        <w:rPr>
          <w:rFonts w:cstheme="minorHAnsi"/>
        </w:rPr>
        <w:t xml:space="preserve"> </w:t>
      </w:r>
      <w:r w:rsidR="006D3BC3" w:rsidRPr="008500F1">
        <w:rPr>
          <w:rFonts w:cstheme="minorHAnsi"/>
        </w:rPr>
        <w:t>food</w:t>
      </w:r>
      <w:r w:rsidR="0097649B" w:rsidRPr="008500F1">
        <w:rPr>
          <w:rFonts w:cstheme="minorHAnsi"/>
        </w:rPr>
        <w:t xml:space="preserve">, but also </w:t>
      </w:r>
      <w:r w:rsidR="00781BA0" w:rsidRPr="008500F1">
        <w:rPr>
          <w:rFonts w:cstheme="minorHAnsi"/>
        </w:rPr>
        <w:t xml:space="preserve">by </w:t>
      </w:r>
      <w:r w:rsidR="006D3BC3" w:rsidRPr="008500F1">
        <w:rPr>
          <w:rFonts w:cstheme="minorHAnsi"/>
        </w:rPr>
        <w:t xml:space="preserve">personal opinions of what </w:t>
      </w:r>
      <w:r w:rsidR="00D16894" w:rsidRPr="008500F1">
        <w:rPr>
          <w:rFonts w:cstheme="minorHAnsi"/>
        </w:rPr>
        <w:t>healthy food is, a</w:t>
      </w:r>
      <w:r w:rsidR="009E4EDB" w:rsidRPr="008500F1">
        <w:rPr>
          <w:rFonts w:cstheme="minorHAnsi"/>
        </w:rPr>
        <w:t xml:space="preserve">s well as by </w:t>
      </w:r>
      <w:r w:rsidR="00781BA0" w:rsidRPr="008500F1">
        <w:rPr>
          <w:rFonts w:cstheme="minorHAnsi"/>
        </w:rPr>
        <w:t xml:space="preserve">the process of </w:t>
      </w:r>
      <w:r w:rsidR="00D16894" w:rsidRPr="008500F1">
        <w:rPr>
          <w:rFonts w:cstheme="minorHAnsi"/>
        </w:rPr>
        <w:t xml:space="preserve">acquiring food—especially if living in a rural area. </w:t>
      </w:r>
      <w:r w:rsidR="002E7654" w:rsidRPr="008500F1">
        <w:rPr>
          <w:rFonts w:cstheme="minorHAnsi"/>
        </w:rPr>
        <w:t>T</w:t>
      </w:r>
      <w:r w:rsidR="00E33D03" w:rsidRPr="008500F1">
        <w:rPr>
          <w:rFonts w:cstheme="minorHAnsi"/>
        </w:rPr>
        <w:t>ransportation to the grocery store</w:t>
      </w:r>
      <w:r w:rsidR="008D15D0" w:rsidRPr="008500F1">
        <w:rPr>
          <w:rFonts w:cstheme="minorHAnsi"/>
        </w:rPr>
        <w:t xml:space="preserve"> and poor mobility </w:t>
      </w:r>
      <w:r w:rsidR="00502E30" w:rsidRPr="008500F1">
        <w:rPr>
          <w:rFonts w:cstheme="minorHAnsi"/>
        </w:rPr>
        <w:t>can be</w:t>
      </w:r>
      <w:r w:rsidR="00D73191" w:rsidRPr="008500F1">
        <w:rPr>
          <w:rFonts w:cstheme="minorHAnsi"/>
        </w:rPr>
        <w:t xml:space="preserve"> barriers</w:t>
      </w:r>
      <w:r w:rsidR="00502E30" w:rsidRPr="008500F1">
        <w:rPr>
          <w:rFonts w:cstheme="minorHAnsi"/>
        </w:rPr>
        <w:t xml:space="preserve">. </w:t>
      </w:r>
      <w:r w:rsidR="009A73F2" w:rsidRPr="008500F1">
        <w:rPr>
          <w:rFonts w:cstheme="minorHAnsi"/>
        </w:rPr>
        <w:t>(Rivero-Jimenez et al, 2020).</w:t>
      </w:r>
    </w:p>
    <w:p w14:paraId="5C7B9C07" w14:textId="7189BB1B" w:rsidR="008F28EC" w:rsidRPr="008500F1" w:rsidRDefault="00AE77AA" w:rsidP="00B26733">
      <w:pPr>
        <w:spacing w:after="0" w:line="480" w:lineRule="auto"/>
        <w:jc w:val="center"/>
        <w:rPr>
          <w:rFonts w:cstheme="minorHAnsi"/>
        </w:rPr>
      </w:pPr>
      <w:r w:rsidRPr="008500F1">
        <w:rPr>
          <w:rFonts w:cstheme="minorHAnsi"/>
          <w:b/>
          <w:bCs/>
        </w:rPr>
        <w:lastRenderedPageBreak/>
        <w:t xml:space="preserve">Healthcare System </w:t>
      </w:r>
      <w:r w:rsidR="003A2C5C" w:rsidRPr="008500F1">
        <w:rPr>
          <w:rFonts w:cstheme="minorHAnsi"/>
          <w:b/>
          <w:bCs/>
        </w:rPr>
        <w:t>Effects</w:t>
      </w:r>
    </w:p>
    <w:p w14:paraId="514F2F92" w14:textId="77777777" w:rsidR="002534A2" w:rsidRPr="008500F1" w:rsidRDefault="002B4CB1" w:rsidP="002534A2">
      <w:pPr>
        <w:spacing w:after="0" w:line="480" w:lineRule="auto"/>
        <w:rPr>
          <w:rFonts w:cstheme="minorHAnsi"/>
        </w:rPr>
      </w:pPr>
      <w:r w:rsidRPr="008500F1">
        <w:rPr>
          <w:rFonts w:cstheme="minorHAnsi"/>
        </w:rPr>
        <w:tab/>
      </w:r>
      <w:r w:rsidR="00A94B6F" w:rsidRPr="008500F1">
        <w:rPr>
          <w:rFonts w:cstheme="minorHAnsi"/>
        </w:rPr>
        <w:t xml:space="preserve">The effects of malnutrition on older adults </w:t>
      </w:r>
      <w:r w:rsidR="00F36E06" w:rsidRPr="008500F1">
        <w:rPr>
          <w:rFonts w:cstheme="minorHAnsi"/>
        </w:rPr>
        <w:t xml:space="preserve">can lead to changes in body </w:t>
      </w:r>
      <w:r w:rsidR="00AA194F" w:rsidRPr="008500F1">
        <w:rPr>
          <w:rFonts w:cstheme="minorHAnsi"/>
        </w:rPr>
        <w:t>structure</w:t>
      </w:r>
      <w:r w:rsidR="0098385B" w:rsidRPr="008500F1">
        <w:rPr>
          <w:rFonts w:cstheme="minorHAnsi"/>
        </w:rPr>
        <w:t xml:space="preserve"> and slower recovery from injury or illness. Geriatric </w:t>
      </w:r>
      <w:r w:rsidR="0064225F" w:rsidRPr="008500F1">
        <w:rPr>
          <w:rFonts w:cstheme="minorHAnsi"/>
        </w:rPr>
        <w:t>disorders</w:t>
      </w:r>
      <w:r w:rsidR="0098385B" w:rsidRPr="008500F1">
        <w:rPr>
          <w:rFonts w:cstheme="minorHAnsi"/>
        </w:rPr>
        <w:t xml:space="preserve"> can develop that affect overall health</w:t>
      </w:r>
      <w:r w:rsidR="00C75AF9" w:rsidRPr="008500F1">
        <w:rPr>
          <w:rFonts w:cstheme="minorHAnsi"/>
        </w:rPr>
        <w:t>, cognition, and bod</w:t>
      </w:r>
      <w:r w:rsidR="00007FD4" w:rsidRPr="008500F1">
        <w:rPr>
          <w:rFonts w:cstheme="minorHAnsi"/>
        </w:rPr>
        <w:t>y</w:t>
      </w:r>
      <w:r w:rsidR="00C75AF9" w:rsidRPr="008500F1">
        <w:rPr>
          <w:rFonts w:cstheme="minorHAnsi"/>
        </w:rPr>
        <w:t xml:space="preserve"> function. </w:t>
      </w:r>
      <w:r w:rsidR="00DC24EF" w:rsidRPr="008500F1">
        <w:rPr>
          <w:rFonts w:cstheme="minorHAnsi"/>
        </w:rPr>
        <w:t>T</w:t>
      </w:r>
      <w:r w:rsidR="0081082B" w:rsidRPr="008500F1">
        <w:rPr>
          <w:rFonts w:cstheme="minorHAnsi"/>
        </w:rPr>
        <w:t>hese issues can result in more frequent hospitalizations</w:t>
      </w:r>
      <w:r w:rsidR="00DA4AAD" w:rsidRPr="008500F1">
        <w:rPr>
          <w:rFonts w:cstheme="minorHAnsi"/>
        </w:rPr>
        <w:t xml:space="preserve"> (</w:t>
      </w:r>
      <w:r w:rsidR="00B70F77" w:rsidRPr="008500F1">
        <w:rPr>
          <w:rFonts w:cstheme="minorHAnsi"/>
        </w:rPr>
        <w:t>Norman et al., 2021).</w:t>
      </w:r>
      <w:r w:rsidRPr="008500F1">
        <w:rPr>
          <w:rFonts w:cstheme="minorHAnsi"/>
        </w:rPr>
        <w:tab/>
      </w:r>
      <w:r w:rsidR="0086392A" w:rsidRPr="008500F1">
        <w:rPr>
          <w:rFonts w:cstheme="minorHAnsi"/>
        </w:rPr>
        <w:t xml:space="preserve">Statistics show that inpatients with malnutrition </w:t>
      </w:r>
      <w:r w:rsidR="002C58A2" w:rsidRPr="008500F1">
        <w:rPr>
          <w:rFonts w:cstheme="minorHAnsi"/>
        </w:rPr>
        <w:t>have two times higher hospitalization costs than</w:t>
      </w:r>
      <w:r w:rsidR="00DC24EF" w:rsidRPr="008500F1">
        <w:rPr>
          <w:rFonts w:cstheme="minorHAnsi"/>
        </w:rPr>
        <w:t xml:space="preserve"> p</w:t>
      </w:r>
      <w:r w:rsidR="002C58A2" w:rsidRPr="008500F1">
        <w:rPr>
          <w:rFonts w:cstheme="minorHAnsi"/>
        </w:rPr>
        <w:t>roperly nourished pat</w:t>
      </w:r>
      <w:r w:rsidR="00954818" w:rsidRPr="008500F1">
        <w:rPr>
          <w:rFonts w:cstheme="minorHAnsi"/>
        </w:rPr>
        <w:t>ie</w:t>
      </w:r>
      <w:r w:rsidR="002C58A2" w:rsidRPr="008500F1">
        <w:rPr>
          <w:rFonts w:cstheme="minorHAnsi"/>
        </w:rPr>
        <w:t>nts.</w:t>
      </w:r>
      <w:r w:rsidR="005F5970" w:rsidRPr="008500F1">
        <w:rPr>
          <w:rFonts w:cstheme="minorHAnsi"/>
        </w:rPr>
        <w:t xml:space="preserve"> </w:t>
      </w:r>
      <w:r w:rsidR="00FC4AA9" w:rsidRPr="008500F1">
        <w:rPr>
          <w:rFonts w:cstheme="minorHAnsi"/>
        </w:rPr>
        <w:t>Researchers found that routine screening for malnutrition and nutritional referrals as needed led to a 50% decrease in hospital admissions</w:t>
      </w:r>
      <w:r w:rsidR="00422B90" w:rsidRPr="008500F1">
        <w:rPr>
          <w:rFonts w:cstheme="minorHAnsi"/>
        </w:rPr>
        <w:t>,</w:t>
      </w:r>
      <w:r w:rsidR="00DA258D" w:rsidRPr="008500F1">
        <w:rPr>
          <w:rFonts w:cstheme="minorHAnsi"/>
        </w:rPr>
        <w:t xml:space="preserve"> </w:t>
      </w:r>
      <w:r w:rsidR="00422B90" w:rsidRPr="008500F1">
        <w:rPr>
          <w:rFonts w:cstheme="minorHAnsi"/>
        </w:rPr>
        <w:t xml:space="preserve">saving </w:t>
      </w:r>
      <w:r w:rsidR="00BE306C" w:rsidRPr="008500F1">
        <w:rPr>
          <w:rFonts w:cstheme="minorHAnsi"/>
        </w:rPr>
        <w:t xml:space="preserve">health care costs for </w:t>
      </w:r>
      <w:r w:rsidR="00422B90" w:rsidRPr="008500F1">
        <w:rPr>
          <w:rFonts w:cstheme="minorHAnsi"/>
        </w:rPr>
        <w:t>each patient</w:t>
      </w:r>
      <w:r w:rsidR="00DA258D" w:rsidRPr="008500F1">
        <w:rPr>
          <w:rFonts w:cstheme="minorHAnsi"/>
        </w:rPr>
        <w:t xml:space="preserve"> about $2300</w:t>
      </w:r>
      <w:r w:rsidR="004C5C67" w:rsidRPr="008500F1">
        <w:rPr>
          <w:rFonts w:cstheme="minorHAnsi"/>
        </w:rPr>
        <w:t xml:space="preserve"> (Sulo et al., </w:t>
      </w:r>
      <w:r w:rsidR="00154344" w:rsidRPr="008500F1">
        <w:rPr>
          <w:rFonts w:cstheme="minorHAnsi"/>
        </w:rPr>
        <w:t>2020).</w:t>
      </w:r>
      <w:r w:rsidR="000205C7" w:rsidRPr="008500F1">
        <w:rPr>
          <w:rFonts w:cstheme="minorHAnsi"/>
        </w:rPr>
        <w:t xml:space="preserve"> </w:t>
      </w:r>
    </w:p>
    <w:p w14:paraId="7967B1B2" w14:textId="6F48A783" w:rsidR="00EF4FFB" w:rsidRPr="008500F1" w:rsidRDefault="00EF4FFB" w:rsidP="004C16C1">
      <w:pPr>
        <w:spacing w:after="0" w:line="480" w:lineRule="auto"/>
        <w:jc w:val="center"/>
        <w:rPr>
          <w:rFonts w:cstheme="minorHAnsi"/>
        </w:rPr>
      </w:pPr>
      <w:r w:rsidRPr="008500F1">
        <w:rPr>
          <w:rFonts w:cstheme="minorHAnsi"/>
          <w:b/>
          <w:bCs/>
        </w:rPr>
        <w:t>Future Trends</w:t>
      </w:r>
    </w:p>
    <w:p w14:paraId="1038C7F0" w14:textId="463643DE" w:rsidR="00E17910" w:rsidRPr="008500F1" w:rsidRDefault="00020434" w:rsidP="00B26733">
      <w:pPr>
        <w:spacing w:after="0" w:line="480" w:lineRule="auto"/>
        <w:rPr>
          <w:rFonts w:cstheme="minorHAnsi"/>
        </w:rPr>
      </w:pPr>
      <w:r w:rsidRPr="008500F1">
        <w:rPr>
          <w:rFonts w:cstheme="minorHAnsi"/>
        </w:rPr>
        <w:tab/>
        <w:t xml:space="preserve">The rate of senior hunger is projected to </w:t>
      </w:r>
      <w:r w:rsidR="00781397" w:rsidRPr="008500F1">
        <w:rPr>
          <w:rFonts w:cstheme="minorHAnsi"/>
        </w:rPr>
        <w:t xml:space="preserve">result in more than 7 million </w:t>
      </w:r>
      <w:r w:rsidR="00032F9C" w:rsidRPr="008500F1">
        <w:rPr>
          <w:rFonts w:cstheme="minorHAnsi"/>
        </w:rPr>
        <w:t>seniors without enough food by 2050 if the current rate continues</w:t>
      </w:r>
      <w:r w:rsidR="003342EC" w:rsidRPr="008500F1">
        <w:rPr>
          <w:rFonts w:cstheme="minorHAnsi"/>
        </w:rPr>
        <w:t xml:space="preserve"> (“The State of Senior Hunger in 2021</w:t>
      </w:r>
      <w:r w:rsidR="0049594D" w:rsidRPr="008500F1">
        <w:rPr>
          <w:rFonts w:cstheme="minorHAnsi"/>
        </w:rPr>
        <w:t>,” 2023)</w:t>
      </w:r>
      <w:r w:rsidR="00424EA2" w:rsidRPr="008500F1">
        <w:rPr>
          <w:rFonts w:cstheme="minorHAnsi"/>
        </w:rPr>
        <w:t xml:space="preserve">. </w:t>
      </w:r>
      <w:r w:rsidR="001A5146" w:rsidRPr="008500F1">
        <w:rPr>
          <w:rFonts w:cstheme="minorHAnsi"/>
        </w:rPr>
        <w:t xml:space="preserve">This will </w:t>
      </w:r>
      <w:r w:rsidR="008903A3" w:rsidRPr="008500F1">
        <w:rPr>
          <w:rFonts w:cstheme="minorHAnsi"/>
        </w:rPr>
        <w:t>not only affect the seniors</w:t>
      </w:r>
      <w:r w:rsidR="00886B28" w:rsidRPr="008500F1">
        <w:rPr>
          <w:rFonts w:cstheme="minorHAnsi"/>
        </w:rPr>
        <w:t xml:space="preserve">, </w:t>
      </w:r>
      <w:r w:rsidR="008903A3" w:rsidRPr="008500F1">
        <w:rPr>
          <w:rFonts w:cstheme="minorHAnsi"/>
        </w:rPr>
        <w:t xml:space="preserve">their </w:t>
      </w:r>
      <w:r w:rsidR="00FE1D46" w:rsidRPr="008500F1">
        <w:rPr>
          <w:rFonts w:cstheme="minorHAnsi"/>
        </w:rPr>
        <w:t>families</w:t>
      </w:r>
      <w:r w:rsidR="00886B28" w:rsidRPr="008500F1">
        <w:rPr>
          <w:rFonts w:cstheme="minorHAnsi"/>
        </w:rPr>
        <w:t xml:space="preserve"> and communities,</w:t>
      </w:r>
      <w:r w:rsidR="00FE1D46" w:rsidRPr="008500F1">
        <w:rPr>
          <w:rFonts w:cstheme="minorHAnsi"/>
        </w:rPr>
        <w:t xml:space="preserve"> but</w:t>
      </w:r>
      <w:r w:rsidR="001F1615" w:rsidRPr="008500F1">
        <w:rPr>
          <w:rFonts w:cstheme="minorHAnsi"/>
        </w:rPr>
        <w:t xml:space="preserve"> will </w:t>
      </w:r>
      <w:r w:rsidR="001A5146" w:rsidRPr="008500F1">
        <w:rPr>
          <w:rFonts w:cstheme="minorHAnsi"/>
        </w:rPr>
        <w:t>drastically raise healthcare costs due to malnutrition</w:t>
      </w:r>
      <w:r w:rsidR="00BD4DF8" w:rsidRPr="008500F1">
        <w:rPr>
          <w:rFonts w:cstheme="minorHAnsi"/>
        </w:rPr>
        <w:t xml:space="preserve">. </w:t>
      </w:r>
    </w:p>
    <w:p w14:paraId="736DE474" w14:textId="23B350BD" w:rsidR="00E7375A" w:rsidRPr="008500F1" w:rsidRDefault="00E7375A" w:rsidP="00B26733">
      <w:pPr>
        <w:spacing w:after="0" w:line="480" w:lineRule="auto"/>
        <w:rPr>
          <w:rFonts w:cstheme="minorHAnsi"/>
        </w:rPr>
      </w:pPr>
      <w:r w:rsidRPr="008500F1">
        <w:rPr>
          <w:rFonts w:cstheme="minorHAnsi"/>
        </w:rPr>
        <w:tab/>
      </w:r>
      <w:r w:rsidR="00344AD3" w:rsidRPr="008500F1">
        <w:rPr>
          <w:rFonts w:cstheme="minorHAnsi"/>
        </w:rPr>
        <w:t xml:space="preserve"> Lack of available food is not the only </w:t>
      </w:r>
      <w:r w:rsidR="009D04D3" w:rsidRPr="008500F1">
        <w:rPr>
          <w:rFonts w:cstheme="minorHAnsi"/>
        </w:rPr>
        <w:t xml:space="preserve">reason for </w:t>
      </w:r>
      <w:r w:rsidR="00917707" w:rsidRPr="008500F1">
        <w:rPr>
          <w:rFonts w:cstheme="minorHAnsi"/>
        </w:rPr>
        <w:t>poor nutritional status</w:t>
      </w:r>
      <w:r w:rsidR="009D04D3" w:rsidRPr="008500F1">
        <w:rPr>
          <w:rFonts w:cstheme="minorHAnsi"/>
        </w:rPr>
        <w:t>.</w:t>
      </w:r>
      <w:r w:rsidR="00272B99" w:rsidRPr="008500F1">
        <w:rPr>
          <w:rFonts w:cstheme="minorHAnsi"/>
        </w:rPr>
        <w:t xml:space="preserve"> Many older adults dislike the taste or texture of available food</w:t>
      </w:r>
      <w:r w:rsidR="00450C21" w:rsidRPr="008500F1">
        <w:rPr>
          <w:rFonts w:cstheme="minorHAnsi"/>
        </w:rPr>
        <w:t xml:space="preserve"> and do not want to eat. </w:t>
      </w:r>
      <w:r w:rsidR="009D04D3" w:rsidRPr="008500F1">
        <w:rPr>
          <w:rFonts w:cstheme="minorHAnsi"/>
        </w:rPr>
        <w:t xml:space="preserve"> </w:t>
      </w:r>
      <w:r w:rsidRPr="008500F1">
        <w:rPr>
          <w:rFonts w:cstheme="minorHAnsi"/>
        </w:rPr>
        <w:t xml:space="preserve">Researchers and manufacturers are looking for ways to </w:t>
      </w:r>
      <w:r w:rsidR="00DD3399" w:rsidRPr="008500F1">
        <w:rPr>
          <w:rFonts w:cstheme="minorHAnsi"/>
        </w:rPr>
        <w:t xml:space="preserve">flavor food better and </w:t>
      </w:r>
      <w:r w:rsidR="00694B95" w:rsidRPr="008500F1">
        <w:rPr>
          <w:rFonts w:cstheme="minorHAnsi"/>
        </w:rPr>
        <w:t>add more nutri</w:t>
      </w:r>
      <w:r w:rsidR="004A47D2" w:rsidRPr="008500F1">
        <w:rPr>
          <w:rFonts w:cstheme="minorHAnsi"/>
        </w:rPr>
        <w:t>ents</w:t>
      </w:r>
      <w:r w:rsidR="00694B95" w:rsidRPr="008500F1">
        <w:rPr>
          <w:rFonts w:cstheme="minorHAnsi"/>
        </w:rPr>
        <w:t xml:space="preserve"> to it. They are also attempting to </w:t>
      </w:r>
      <w:r w:rsidR="00820EE9" w:rsidRPr="008500F1">
        <w:rPr>
          <w:rFonts w:cstheme="minorHAnsi"/>
        </w:rPr>
        <w:t xml:space="preserve">improve the texture of foods for </w:t>
      </w:r>
      <w:r w:rsidR="00A422BB" w:rsidRPr="008500F1">
        <w:rPr>
          <w:rFonts w:cstheme="minorHAnsi"/>
        </w:rPr>
        <w:t xml:space="preserve">older people with dysphagia </w:t>
      </w:r>
      <w:r w:rsidR="00F833BD" w:rsidRPr="008500F1">
        <w:rPr>
          <w:rFonts w:cstheme="minorHAnsi"/>
        </w:rPr>
        <w:t>or</w:t>
      </w:r>
      <w:r w:rsidR="00BB0D18" w:rsidRPr="008500F1">
        <w:rPr>
          <w:rFonts w:cstheme="minorHAnsi"/>
        </w:rPr>
        <w:t xml:space="preserve"> who have</w:t>
      </w:r>
      <w:r w:rsidR="00F833BD" w:rsidRPr="008500F1">
        <w:rPr>
          <w:rFonts w:cstheme="minorHAnsi"/>
        </w:rPr>
        <w:t xml:space="preserve"> </w:t>
      </w:r>
      <w:r w:rsidR="00BB0D18" w:rsidRPr="008500F1">
        <w:rPr>
          <w:rFonts w:cstheme="minorHAnsi"/>
        </w:rPr>
        <w:t xml:space="preserve">difficulty in chewing </w:t>
      </w:r>
      <w:r w:rsidR="00EA3FDB" w:rsidRPr="008500F1">
        <w:rPr>
          <w:rFonts w:cstheme="minorHAnsi"/>
        </w:rPr>
        <w:t>by</w:t>
      </w:r>
      <w:r w:rsidR="008D4D15" w:rsidRPr="008500F1">
        <w:rPr>
          <w:rFonts w:cstheme="minorHAnsi"/>
        </w:rPr>
        <w:t xml:space="preserve"> </w:t>
      </w:r>
      <w:r w:rsidR="00A422BB" w:rsidRPr="008500F1">
        <w:rPr>
          <w:rFonts w:cstheme="minorHAnsi"/>
        </w:rPr>
        <w:t>develop</w:t>
      </w:r>
      <w:r w:rsidR="00EA3FDB" w:rsidRPr="008500F1">
        <w:rPr>
          <w:rFonts w:cstheme="minorHAnsi"/>
        </w:rPr>
        <w:t>ing</w:t>
      </w:r>
      <w:r w:rsidR="00A422BB" w:rsidRPr="008500F1">
        <w:rPr>
          <w:rFonts w:cstheme="minorHAnsi"/>
        </w:rPr>
        <w:t xml:space="preserve"> foam food, gelled bread</w:t>
      </w:r>
      <w:r w:rsidR="000012EF" w:rsidRPr="008500F1">
        <w:rPr>
          <w:rFonts w:cstheme="minorHAnsi"/>
        </w:rPr>
        <w:t>, and reshap</w:t>
      </w:r>
      <w:r w:rsidR="00EA3FDB" w:rsidRPr="008500F1">
        <w:rPr>
          <w:rFonts w:cstheme="minorHAnsi"/>
        </w:rPr>
        <w:t>ing</w:t>
      </w:r>
      <w:r w:rsidR="000012EF" w:rsidRPr="008500F1">
        <w:rPr>
          <w:rFonts w:cstheme="minorHAnsi"/>
        </w:rPr>
        <w:t xml:space="preserve"> pureed food </w:t>
      </w:r>
      <w:r w:rsidR="0056388E" w:rsidRPr="008500F1">
        <w:rPr>
          <w:rFonts w:cstheme="minorHAnsi"/>
        </w:rPr>
        <w:t>to</w:t>
      </w:r>
      <w:r w:rsidR="000012EF" w:rsidRPr="008500F1">
        <w:rPr>
          <w:rFonts w:cstheme="minorHAnsi"/>
        </w:rPr>
        <w:t xml:space="preserve"> increase palatability</w:t>
      </w:r>
      <w:r w:rsidR="00EB6AF8" w:rsidRPr="008500F1">
        <w:rPr>
          <w:rFonts w:cstheme="minorHAnsi"/>
        </w:rPr>
        <w:t xml:space="preserve"> (Rusu et al., </w:t>
      </w:r>
      <w:r w:rsidR="0056388E" w:rsidRPr="008500F1">
        <w:rPr>
          <w:rFonts w:cstheme="minorHAnsi"/>
        </w:rPr>
        <w:t>2020).</w:t>
      </w:r>
    </w:p>
    <w:p w14:paraId="24F21BAD" w14:textId="6C28D100" w:rsidR="0056388E" w:rsidRPr="008500F1" w:rsidRDefault="00427A0A" w:rsidP="00B26733">
      <w:pPr>
        <w:spacing w:after="0" w:line="480" w:lineRule="auto"/>
        <w:jc w:val="center"/>
        <w:rPr>
          <w:rFonts w:cstheme="minorHAnsi"/>
        </w:rPr>
      </w:pPr>
      <w:r w:rsidRPr="008500F1">
        <w:rPr>
          <w:rFonts w:cstheme="minorHAnsi"/>
          <w:b/>
          <w:bCs/>
        </w:rPr>
        <w:t>Impact of Healthcare Professionals</w:t>
      </w:r>
    </w:p>
    <w:p w14:paraId="1854CA6E" w14:textId="79608E1B" w:rsidR="00F56664" w:rsidRPr="008500F1" w:rsidRDefault="00427A0A" w:rsidP="00B26733">
      <w:pPr>
        <w:spacing w:after="0" w:line="480" w:lineRule="auto"/>
        <w:rPr>
          <w:rFonts w:cstheme="minorHAnsi"/>
        </w:rPr>
      </w:pPr>
      <w:r w:rsidRPr="008500F1">
        <w:rPr>
          <w:rFonts w:cstheme="minorHAnsi"/>
        </w:rPr>
        <w:tab/>
      </w:r>
      <w:r w:rsidR="006616C6" w:rsidRPr="008500F1">
        <w:rPr>
          <w:rFonts w:cstheme="minorHAnsi"/>
        </w:rPr>
        <w:t xml:space="preserve">One of the </w:t>
      </w:r>
      <w:r w:rsidR="006C2A16" w:rsidRPr="008500F1">
        <w:rPr>
          <w:rFonts w:cstheme="minorHAnsi"/>
        </w:rPr>
        <w:t>most important</w:t>
      </w:r>
      <w:r w:rsidR="006616C6" w:rsidRPr="008500F1">
        <w:rPr>
          <w:rFonts w:cstheme="minorHAnsi"/>
        </w:rPr>
        <w:t xml:space="preserve"> things medical </w:t>
      </w:r>
      <w:r w:rsidR="006C2A16" w:rsidRPr="008500F1">
        <w:rPr>
          <w:rFonts w:cstheme="minorHAnsi"/>
        </w:rPr>
        <w:t xml:space="preserve">professionals can do to prevent </w:t>
      </w:r>
      <w:r w:rsidR="00450C21" w:rsidRPr="008500F1">
        <w:rPr>
          <w:rFonts w:cstheme="minorHAnsi"/>
        </w:rPr>
        <w:t>improper nutrition</w:t>
      </w:r>
      <w:r w:rsidR="006C2A16" w:rsidRPr="008500F1">
        <w:rPr>
          <w:rFonts w:cstheme="minorHAnsi"/>
        </w:rPr>
        <w:t xml:space="preserve"> is to </w:t>
      </w:r>
      <w:r w:rsidR="00216F4F" w:rsidRPr="008500F1">
        <w:rPr>
          <w:rFonts w:cstheme="minorHAnsi"/>
        </w:rPr>
        <w:t>routinely screen patients for malnutrition</w:t>
      </w:r>
      <w:r w:rsidR="008A05F4" w:rsidRPr="008500F1">
        <w:rPr>
          <w:rFonts w:cstheme="minorHAnsi"/>
        </w:rPr>
        <w:t xml:space="preserve"> risks including socioeconomic factors</w:t>
      </w:r>
      <w:r w:rsidR="00216F4F" w:rsidRPr="008500F1">
        <w:rPr>
          <w:rFonts w:cstheme="minorHAnsi"/>
        </w:rPr>
        <w:t xml:space="preserve"> and make referrals as necessary</w:t>
      </w:r>
      <w:r w:rsidR="004E015D" w:rsidRPr="008500F1">
        <w:rPr>
          <w:rFonts w:cstheme="minorHAnsi"/>
        </w:rPr>
        <w:t>.</w:t>
      </w:r>
      <w:r w:rsidR="00BE387B" w:rsidRPr="008500F1">
        <w:rPr>
          <w:rFonts w:cstheme="minorHAnsi"/>
        </w:rPr>
        <w:t xml:space="preserve"> </w:t>
      </w:r>
      <w:r w:rsidR="0078115A" w:rsidRPr="008500F1">
        <w:rPr>
          <w:rFonts w:cstheme="minorHAnsi"/>
        </w:rPr>
        <w:t xml:space="preserve">Education about healthy meals is also key to </w:t>
      </w:r>
      <w:r w:rsidR="00C86FBF" w:rsidRPr="008500F1">
        <w:rPr>
          <w:rFonts w:cstheme="minorHAnsi"/>
        </w:rPr>
        <w:t>prevent</w:t>
      </w:r>
      <w:r w:rsidR="0064055C" w:rsidRPr="008500F1">
        <w:rPr>
          <w:rFonts w:cstheme="minorHAnsi"/>
        </w:rPr>
        <w:t xml:space="preserve"> </w:t>
      </w:r>
      <w:r w:rsidR="00C86FBF" w:rsidRPr="008500F1">
        <w:rPr>
          <w:rFonts w:cstheme="minorHAnsi"/>
        </w:rPr>
        <w:t>deficiencies that can lead to health problems.</w:t>
      </w:r>
      <w:r w:rsidR="003D433D" w:rsidRPr="008500F1">
        <w:rPr>
          <w:rFonts w:cstheme="minorHAnsi"/>
        </w:rPr>
        <w:t xml:space="preserve"> Healthcare professionals can also encourage participation in community activities</w:t>
      </w:r>
      <w:r w:rsidR="005025FA" w:rsidRPr="008500F1">
        <w:rPr>
          <w:rFonts w:cstheme="minorHAnsi"/>
        </w:rPr>
        <w:t xml:space="preserve"> to promote socialization at mealtime</w:t>
      </w:r>
      <w:r w:rsidR="00E434D3" w:rsidRPr="008500F1">
        <w:rPr>
          <w:rFonts w:cstheme="minorHAnsi"/>
        </w:rPr>
        <w:t xml:space="preserve"> and prevent depression in elderly patients</w:t>
      </w:r>
      <w:r w:rsidR="00F6385D" w:rsidRPr="008500F1">
        <w:rPr>
          <w:rFonts w:cstheme="minorHAnsi"/>
        </w:rPr>
        <w:t xml:space="preserve"> (Besora-Moreno et al., 2020)</w:t>
      </w:r>
      <w:r w:rsidR="00E434D3" w:rsidRPr="008500F1">
        <w:rPr>
          <w:rFonts w:cstheme="minorHAnsi"/>
        </w:rPr>
        <w:t>.</w:t>
      </w:r>
    </w:p>
    <w:p w14:paraId="6EA61ABA" w14:textId="35D69984" w:rsidR="009A57FE" w:rsidRPr="008500F1" w:rsidRDefault="00B26733" w:rsidP="005F7D5A">
      <w:pPr>
        <w:jc w:val="center"/>
        <w:rPr>
          <w:rFonts w:cstheme="minorHAnsi"/>
          <w:b/>
          <w:bCs/>
        </w:rPr>
      </w:pPr>
      <w:r w:rsidRPr="008500F1">
        <w:rPr>
          <w:rFonts w:cstheme="minorHAnsi"/>
          <w:b/>
          <w:bCs/>
        </w:rPr>
        <w:br w:type="page"/>
      </w:r>
      <w:r w:rsidR="00CE06B6" w:rsidRPr="008500F1">
        <w:rPr>
          <w:rFonts w:cstheme="minorHAnsi"/>
          <w:b/>
          <w:bCs/>
        </w:rPr>
        <w:lastRenderedPageBreak/>
        <w:t>References</w:t>
      </w:r>
    </w:p>
    <w:p w14:paraId="16C60DEB" w14:textId="5DA5F1C8" w:rsidR="00CE06B6"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xml:space="preserve">Aplin, T., </w:t>
      </w:r>
      <w:proofErr w:type="spellStart"/>
      <w:r w:rsidRPr="008500F1">
        <w:rPr>
          <w:rFonts w:asciiTheme="minorHAnsi" w:hAnsiTheme="minorHAnsi" w:cstheme="minorHAnsi"/>
          <w:color w:val="2D3B45"/>
          <w:sz w:val="22"/>
          <w:szCs w:val="22"/>
        </w:rPr>
        <w:t>Lowies</w:t>
      </w:r>
      <w:proofErr w:type="spellEnd"/>
      <w:r w:rsidRPr="008500F1">
        <w:rPr>
          <w:rFonts w:asciiTheme="minorHAnsi" w:hAnsiTheme="minorHAnsi" w:cstheme="minorHAnsi"/>
          <w:color w:val="2D3B45"/>
          <w:sz w:val="22"/>
          <w:szCs w:val="22"/>
        </w:rPr>
        <w:t xml:space="preserve">, B., &amp; McGreal, S. (2022). The home environment: Influences on the health of young-old </w:t>
      </w:r>
      <w:r w:rsidR="00AB5226"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and old-old adults in Australia. </w:t>
      </w:r>
      <w:r w:rsidRPr="008500F1">
        <w:rPr>
          <w:rFonts w:asciiTheme="minorHAnsi" w:hAnsiTheme="minorHAnsi" w:cstheme="minorHAnsi"/>
          <w:i/>
          <w:iCs/>
          <w:color w:val="2D3B45"/>
          <w:sz w:val="22"/>
          <w:szCs w:val="22"/>
        </w:rPr>
        <w:t>Ageing and Society</w:t>
      </w:r>
      <w:r w:rsidRPr="008500F1">
        <w:rPr>
          <w:rFonts w:asciiTheme="minorHAnsi" w:hAnsiTheme="minorHAnsi" w:cstheme="minorHAnsi"/>
          <w:color w:val="2D3B45"/>
          <w:sz w:val="22"/>
          <w:szCs w:val="22"/>
        </w:rPr>
        <w:t xml:space="preserve">, </w:t>
      </w:r>
    </w:p>
    <w:p w14:paraId="489CA10B" w14:textId="4C613F7C" w:rsidR="00CE06B6"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ab/>
        <w:t>1–19. </w:t>
      </w:r>
      <w:hyperlink r:id="rId6" w:history="1">
        <w:r w:rsidRPr="008500F1">
          <w:rPr>
            <w:rStyle w:val="Hyperlink"/>
            <w:rFonts w:asciiTheme="minorHAnsi" w:hAnsiTheme="minorHAnsi" w:cstheme="minorHAnsi"/>
            <w:sz w:val="22"/>
            <w:szCs w:val="22"/>
          </w:rPr>
          <w:t>https://doi.org/10.1017/s0144686x22000757</w:t>
        </w:r>
      </w:hyperlink>
    </w:p>
    <w:p w14:paraId="7C0622BD" w14:textId="501FAD6B" w:rsidR="00CE06B6"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xml:space="preserve">Besora-Moreno, M., </w:t>
      </w:r>
      <w:proofErr w:type="spellStart"/>
      <w:r w:rsidRPr="008500F1">
        <w:rPr>
          <w:rFonts w:asciiTheme="minorHAnsi" w:hAnsiTheme="minorHAnsi" w:cstheme="minorHAnsi"/>
          <w:color w:val="2D3B45"/>
          <w:sz w:val="22"/>
          <w:szCs w:val="22"/>
        </w:rPr>
        <w:t>Llauradó</w:t>
      </w:r>
      <w:proofErr w:type="spellEnd"/>
      <w:r w:rsidRPr="008500F1">
        <w:rPr>
          <w:rFonts w:asciiTheme="minorHAnsi" w:hAnsiTheme="minorHAnsi" w:cstheme="minorHAnsi"/>
          <w:color w:val="2D3B45"/>
          <w:sz w:val="22"/>
          <w:szCs w:val="22"/>
        </w:rPr>
        <w:t xml:space="preserve">, E., </w:t>
      </w:r>
      <w:proofErr w:type="spellStart"/>
      <w:r w:rsidRPr="008500F1">
        <w:rPr>
          <w:rFonts w:asciiTheme="minorHAnsi" w:hAnsiTheme="minorHAnsi" w:cstheme="minorHAnsi"/>
          <w:color w:val="2D3B45"/>
          <w:sz w:val="22"/>
          <w:szCs w:val="22"/>
        </w:rPr>
        <w:t>Tarro</w:t>
      </w:r>
      <w:proofErr w:type="spellEnd"/>
      <w:r w:rsidRPr="008500F1">
        <w:rPr>
          <w:rFonts w:asciiTheme="minorHAnsi" w:hAnsiTheme="minorHAnsi" w:cstheme="minorHAnsi"/>
          <w:color w:val="2D3B45"/>
          <w:sz w:val="22"/>
          <w:szCs w:val="22"/>
        </w:rPr>
        <w:t xml:space="preserve">, L., &amp; </w:t>
      </w:r>
      <w:proofErr w:type="spellStart"/>
      <w:r w:rsidRPr="008500F1">
        <w:rPr>
          <w:rFonts w:asciiTheme="minorHAnsi" w:hAnsiTheme="minorHAnsi" w:cstheme="minorHAnsi"/>
          <w:color w:val="2D3B45"/>
          <w:sz w:val="22"/>
          <w:szCs w:val="22"/>
        </w:rPr>
        <w:t>Solà</w:t>
      </w:r>
      <w:proofErr w:type="spellEnd"/>
      <w:r w:rsidRPr="008500F1">
        <w:rPr>
          <w:rFonts w:asciiTheme="minorHAnsi" w:hAnsiTheme="minorHAnsi" w:cstheme="minorHAnsi"/>
          <w:color w:val="2D3B45"/>
          <w:sz w:val="22"/>
          <w:szCs w:val="22"/>
        </w:rPr>
        <w:t xml:space="preserve">, R. (2020). Social and economic factors and </w:t>
      </w:r>
      <w:r w:rsidR="002C17C0"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 xml:space="preserve">malnutrition or the risk of malnutrition in the elderly: A systematic review and meta-analysis of </w:t>
      </w:r>
      <w:r w:rsidR="00AB5226"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observational studies. </w:t>
      </w:r>
      <w:r w:rsidRPr="008500F1">
        <w:rPr>
          <w:rFonts w:asciiTheme="minorHAnsi" w:hAnsiTheme="minorHAnsi" w:cstheme="minorHAnsi"/>
          <w:i/>
          <w:iCs/>
          <w:color w:val="2D3B45"/>
          <w:sz w:val="22"/>
          <w:szCs w:val="22"/>
        </w:rPr>
        <w:t>Nutrients</w:t>
      </w:r>
      <w:r w:rsidRPr="008500F1">
        <w:rPr>
          <w:rFonts w:asciiTheme="minorHAnsi" w:hAnsiTheme="minorHAnsi" w:cstheme="minorHAnsi"/>
          <w:color w:val="2D3B45"/>
          <w:sz w:val="22"/>
          <w:szCs w:val="22"/>
        </w:rPr>
        <w:t>, </w:t>
      </w:r>
      <w:r w:rsidRPr="008500F1">
        <w:rPr>
          <w:rFonts w:asciiTheme="minorHAnsi" w:hAnsiTheme="minorHAnsi" w:cstheme="minorHAnsi"/>
          <w:i/>
          <w:iCs/>
          <w:color w:val="2D3B45"/>
          <w:sz w:val="22"/>
          <w:szCs w:val="22"/>
        </w:rPr>
        <w:t>12</w:t>
      </w:r>
      <w:r w:rsidRPr="008500F1">
        <w:rPr>
          <w:rFonts w:asciiTheme="minorHAnsi" w:hAnsiTheme="minorHAnsi" w:cstheme="minorHAnsi"/>
          <w:color w:val="2D3B45"/>
          <w:sz w:val="22"/>
          <w:szCs w:val="22"/>
        </w:rPr>
        <w:t xml:space="preserve">(3), 737. </w:t>
      </w:r>
      <w:hyperlink r:id="rId7" w:history="1">
        <w:r w:rsidR="00AB5226" w:rsidRPr="008500F1">
          <w:rPr>
            <w:rStyle w:val="Hyperlink"/>
            <w:rFonts w:asciiTheme="minorHAnsi" w:hAnsiTheme="minorHAnsi" w:cstheme="minorHAnsi"/>
            <w:sz w:val="22"/>
            <w:szCs w:val="22"/>
          </w:rPr>
          <w:t>https://doi.org/10.3390/nu12030737</w:t>
        </w:r>
      </w:hyperlink>
    </w:p>
    <w:p w14:paraId="496B47E9" w14:textId="77777777" w:rsidR="009D1D0A" w:rsidRPr="008500F1" w:rsidRDefault="00247C2D" w:rsidP="008F67D2">
      <w:pPr>
        <w:pStyle w:val="NormalWeb"/>
        <w:spacing w:before="0" w:beforeAutospacing="0" w:after="0" w:afterAutospacing="0" w:line="480" w:lineRule="auto"/>
        <w:ind w:left="567" w:hanging="567"/>
        <w:rPr>
          <w:rFonts w:asciiTheme="minorHAnsi" w:hAnsiTheme="minorHAnsi" w:cstheme="minorHAnsi"/>
          <w:sz w:val="22"/>
          <w:szCs w:val="22"/>
        </w:rPr>
      </w:pPr>
      <w:r w:rsidRPr="008500F1">
        <w:rPr>
          <w:rFonts w:asciiTheme="minorHAnsi" w:hAnsiTheme="minorHAnsi" w:cstheme="minorHAnsi"/>
          <w:sz w:val="22"/>
          <w:szCs w:val="22"/>
        </w:rPr>
        <w:t xml:space="preserve">Hales, L. J., Rabbitt, M. P., Reed-Jones, M., &amp; Coleman-Jensen, A. (2023, October 25). </w:t>
      </w:r>
      <w:r w:rsidRPr="008500F1">
        <w:rPr>
          <w:rFonts w:asciiTheme="minorHAnsi" w:hAnsiTheme="minorHAnsi" w:cstheme="minorHAnsi"/>
          <w:i/>
          <w:iCs/>
          <w:sz w:val="22"/>
          <w:szCs w:val="22"/>
        </w:rPr>
        <w:t>Household food security in the United States in 2022</w:t>
      </w:r>
      <w:r w:rsidRPr="008500F1">
        <w:rPr>
          <w:rFonts w:asciiTheme="minorHAnsi" w:hAnsiTheme="minorHAnsi" w:cstheme="minorHAnsi"/>
          <w:sz w:val="22"/>
          <w:szCs w:val="22"/>
        </w:rPr>
        <w:t xml:space="preserve">. USDA ERS. https://www.ers.usda.gov/publications/pub-details/?pubid=107702 </w:t>
      </w:r>
    </w:p>
    <w:p w14:paraId="184FAEB6" w14:textId="23C47AFA" w:rsidR="002B7D93" w:rsidRPr="008500F1" w:rsidRDefault="002B7D93" w:rsidP="008F67D2">
      <w:pPr>
        <w:pStyle w:val="NormalWeb"/>
        <w:spacing w:before="0" w:beforeAutospacing="0" w:after="0" w:afterAutospacing="0" w:line="480" w:lineRule="auto"/>
        <w:ind w:left="567" w:hanging="567"/>
        <w:rPr>
          <w:rFonts w:asciiTheme="minorHAnsi" w:hAnsiTheme="minorHAnsi" w:cstheme="minorHAnsi"/>
          <w:sz w:val="22"/>
          <w:szCs w:val="22"/>
        </w:rPr>
      </w:pPr>
      <w:r w:rsidRPr="008500F1">
        <w:rPr>
          <w:rFonts w:asciiTheme="minorHAnsi" w:hAnsiTheme="minorHAnsi" w:cstheme="minorHAnsi"/>
          <w:color w:val="333333"/>
          <w:sz w:val="22"/>
          <w:szCs w:val="22"/>
          <w:shd w:val="clear" w:color="auto" w:fill="FCFCFC"/>
        </w:rPr>
        <w:t>Nakade, M., Kondo, K. (2020). Malnutrition in Older People. In: Kondo, K. (eds) Social of Health in Non-communicable Diseases. Springer Series on Epidemiology and Public Health. Springer, Singapore. https://doi.org/10.1007/978-981-15-1831-7_13</w:t>
      </w:r>
    </w:p>
    <w:p w14:paraId="126FA91F" w14:textId="3581A387" w:rsidR="00CE06B6" w:rsidRPr="008500F1" w:rsidRDefault="00CE06B6" w:rsidP="008F67D2">
      <w:pPr>
        <w:pStyle w:val="NormalWeb"/>
        <w:spacing w:before="0" w:beforeAutospacing="0" w:after="0" w:afterAutospacing="0" w:line="480" w:lineRule="auto"/>
        <w:ind w:left="567" w:hanging="567"/>
        <w:rPr>
          <w:rFonts w:asciiTheme="minorHAnsi" w:hAnsiTheme="minorHAnsi" w:cstheme="minorHAnsi"/>
          <w:sz w:val="22"/>
          <w:szCs w:val="22"/>
        </w:rPr>
      </w:pPr>
      <w:r w:rsidRPr="008500F1">
        <w:rPr>
          <w:rFonts w:asciiTheme="minorHAnsi" w:hAnsiTheme="minorHAnsi" w:cstheme="minorHAnsi"/>
          <w:color w:val="2D3B45"/>
          <w:sz w:val="22"/>
          <w:szCs w:val="22"/>
        </w:rPr>
        <w:t xml:space="preserve">Norman, K., </w:t>
      </w:r>
      <w:proofErr w:type="spellStart"/>
      <w:r w:rsidRPr="008500F1">
        <w:rPr>
          <w:rFonts w:asciiTheme="minorHAnsi" w:hAnsiTheme="minorHAnsi" w:cstheme="minorHAnsi"/>
          <w:color w:val="2D3B45"/>
          <w:sz w:val="22"/>
          <w:szCs w:val="22"/>
        </w:rPr>
        <w:t>Haß</w:t>
      </w:r>
      <w:proofErr w:type="spellEnd"/>
      <w:r w:rsidRPr="008500F1">
        <w:rPr>
          <w:rFonts w:asciiTheme="minorHAnsi" w:hAnsiTheme="minorHAnsi" w:cstheme="minorHAnsi"/>
          <w:color w:val="2D3B45"/>
          <w:sz w:val="22"/>
          <w:szCs w:val="22"/>
        </w:rPr>
        <w:t xml:space="preserve">, U., &amp; </w:t>
      </w:r>
      <w:proofErr w:type="spellStart"/>
      <w:r w:rsidRPr="008500F1">
        <w:rPr>
          <w:rFonts w:asciiTheme="minorHAnsi" w:hAnsiTheme="minorHAnsi" w:cstheme="minorHAnsi"/>
          <w:color w:val="2D3B45"/>
          <w:sz w:val="22"/>
          <w:szCs w:val="22"/>
        </w:rPr>
        <w:t>Pirlich</w:t>
      </w:r>
      <w:proofErr w:type="spellEnd"/>
      <w:r w:rsidRPr="008500F1">
        <w:rPr>
          <w:rFonts w:asciiTheme="minorHAnsi" w:hAnsiTheme="minorHAnsi" w:cstheme="minorHAnsi"/>
          <w:color w:val="2D3B45"/>
          <w:sz w:val="22"/>
          <w:szCs w:val="22"/>
        </w:rPr>
        <w:t xml:space="preserve">, M. (2021). Malnutrition in older adults—recent advances and </w:t>
      </w:r>
      <w:r w:rsidR="002C17C0"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remaining challenges. </w:t>
      </w:r>
      <w:r w:rsidRPr="008500F1">
        <w:rPr>
          <w:rFonts w:asciiTheme="minorHAnsi" w:hAnsiTheme="minorHAnsi" w:cstheme="minorHAnsi"/>
          <w:i/>
          <w:iCs/>
          <w:color w:val="2D3B45"/>
          <w:sz w:val="22"/>
          <w:szCs w:val="22"/>
        </w:rPr>
        <w:t>Nutrients</w:t>
      </w:r>
      <w:r w:rsidRPr="008500F1">
        <w:rPr>
          <w:rFonts w:asciiTheme="minorHAnsi" w:hAnsiTheme="minorHAnsi" w:cstheme="minorHAnsi"/>
          <w:color w:val="2D3B45"/>
          <w:sz w:val="22"/>
          <w:szCs w:val="22"/>
        </w:rPr>
        <w:t>, </w:t>
      </w:r>
      <w:r w:rsidRPr="008500F1">
        <w:rPr>
          <w:rFonts w:asciiTheme="minorHAnsi" w:hAnsiTheme="minorHAnsi" w:cstheme="minorHAnsi"/>
          <w:i/>
          <w:iCs/>
          <w:color w:val="2D3B45"/>
          <w:sz w:val="22"/>
          <w:szCs w:val="22"/>
        </w:rPr>
        <w:t>13</w:t>
      </w:r>
      <w:r w:rsidRPr="008500F1">
        <w:rPr>
          <w:rFonts w:asciiTheme="minorHAnsi" w:hAnsiTheme="minorHAnsi" w:cstheme="minorHAnsi"/>
          <w:color w:val="2D3B45"/>
          <w:sz w:val="22"/>
          <w:szCs w:val="22"/>
        </w:rPr>
        <w:t>(8), 2764.</w:t>
      </w:r>
      <w:r w:rsidR="00AB5226" w:rsidRPr="008500F1">
        <w:rPr>
          <w:rFonts w:asciiTheme="minorHAnsi" w:hAnsiTheme="minorHAnsi" w:cstheme="minorHAnsi"/>
          <w:color w:val="2D3B45"/>
          <w:sz w:val="22"/>
          <w:szCs w:val="22"/>
        </w:rPr>
        <w:t xml:space="preserve"> </w:t>
      </w:r>
      <w:hyperlink r:id="rId8" w:history="1">
        <w:r w:rsidR="00AB5226" w:rsidRPr="008500F1">
          <w:rPr>
            <w:rStyle w:val="Hyperlink"/>
            <w:rFonts w:asciiTheme="minorHAnsi" w:hAnsiTheme="minorHAnsi" w:cstheme="minorHAnsi"/>
            <w:sz w:val="22"/>
            <w:szCs w:val="22"/>
          </w:rPr>
          <w:t>https://doi.org/10.3390/nu13082764</w:t>
        </w:r>
      </w:hyperlink>
    </w:p>
    <w:p w14:paraId="60B7B27F" w14:textId="2E414E5B" w:rsidR="00CE06B6"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xml:space="preserve">Rivero-Jiménez, B., Conde-Caballero, D., &amp; Mariano-Juárez, L. (2020). Health and nutritional beliefs and </w:t>
      </w:r>
      <w:r w:rsidR="00AB5226"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practices among rural elderly population: An ethnographic study in western Spain. </w:t>
      </w:r>
      <w:r w:rsidRPr="008500F1">
        <w:rPr>
          <w:rFonts w:asciiTheme="minorHAnsi" w:hAnsiTheme="minorHAnsi" w:cstheme="minorHAnsi"/>
          <w:i/>
          <w:iCs/>
          <w:color w:val="2D3B45"/>
          <w:sz w:val="22"/>
          <w:szCs w:val="22"/>
        </w:rPr>
        <w:t xml:space="preserve">International </w:t>
      </w:r>
      <w:r w:rsidR="00AB5226" w:rsidRPr="008500F1">
        <w:rPr>
          <w:rFonts w:asciiTheme="minorHAnsi" w:hAnsiTheme="minorHAnsi" w:cstheme="minorHAnsi"/>
          <w:i/>
          <w:iCs/>
          <w:color w:val="2D3B45"/>
          <w:sz w:val="22"/>
          <w:szCs w:val="22"/>
        </w:rPr>
        <w:tab/>
      </w:r>
      <w:r w:rsidRPr="008500F1">
        <w:rPr>
          <w:rFonts w:asciiTheme="minorHAnsi" w:hAnsiTheme="minorHAnsi" w:cstheme="minorHAnsi"/>
          <w:i/>
          <w:iCs/>
          <w:color w:val="2D3B45"/>
          <w:sz w:val="22"/>
          <w:szCs w:val="22"/>
        </w:rPr>
        <w:t>Journal of Environmental Research and Public Health</w:t>
      </w:r>
      <w:r w:rsidRPr="008500F1">
        <w:rPr>
          <w:rFonts w:asciiTheme="minorHAnsi" w:hAnsiTheme="minorHAnsi" w:cstheme="minorHAnsi"/>
          <w:color w:val="2D3B45"/>
          <w:sz w:val="22"/>
          <w:szCs w:val="22"/>
        </w:rPr>
        <w:t>, </w:t>
      </w:r>
      <w:r w:rsidRPr="008500F1">
        <w:rPr>
          <w:rFonts w:asciiTheme="minorHAnsi" w:hAnsiTheme="minorHAnsi" w:cstheme="minorHAnsi"/>
          <w:i/>
          <w:iCs/>
          <w:color w:val="2D3B45"/>
          <w:sz w:val="22"/>
          <w:szCs w:val="22"/>
        </w:rPr>
        <w:t>17</w:t>
      </w:r>
      <w:r w:rsidRPr="008500F1">
        <w:rPr>
          <w:rFonts w:asciiTheme="minorHAnsi" w:hAnsiTheme="minorHAnsi" w:cstheme="minorHAnsi"/>
          <w:color w:val="2D3B45"/>
          <w:sz w:val="22"/>
          <w:szCs w:val="22"/>
        </w:rPr>
        <w:t xml:space="preserve">(16), </w:t>
      </w:r>
      <w:r w:rsidR="00AB5226" w:rsidRPr="008500F1">
        <w:rPr>
          <w:rFonts w:asciiTheme="minorHAnsi" w:hAnsiTheme="minorHAnsi" w:cstheme="minorHAnsi"/>
          <w:color w:val="2D3B45"/>
          <w:sz w:val="22"/>
          <w:szCs w:val="22"/>
        </w:rPr>
        <w:t>5923</w:t>
      </w:r>
      <w:r w:rsidR="00B40A3B" w:rsidRPr="008500F1">
        <w:rPr>
          <w:rFonts w:asciiTheme="minorHAnsi" w:hAnsiTheme="minorHAnsi" w:cstheme="minorHAnsi"/>
          <w:color w:val="2D3B45"/>
          <w:sz w:val="22"/>
          <w:szCs w:val="22"/>
        </w:rPr>
        <w:t>.</w:t>
      </w:r>
      <w:r w:rsidR="00AB5226" w:rsidRPr="008500F1">
        <w:rPr>
          <w:rFonts w:asciiTheme="minorHAnsi" w:hAnsiTheme="minorHAnsi" w:cstheme="minorHAnsi"/>
          <w:color w:val="2D3B45"/>
          <w:sz w:val="22"/>
          <w:szCs w:val="22"/>
        </w:rPr>
        <w:tab/>
      </w:r>
      <w:hyperlink r:id="rId9" w:history="1">
        <w:r w:rsidR="00B40A3B" w:rsidRPr="008500F1">
          <w:rPr>
            <w:rStyle w:val="Hyperlink"/>
            <w:rFonts w:asciiTheme="minorHAnsi" w:hAnsiTheme="minorHAnsi" w:cstheme="minorHAnsi"/>
            <w:sz w:val="22"/>
            <w:szCs w:val="22"/>
          </w:rPr>
          <w:t>https://doi.org/10.3390/ijerph17165923</w:t>
        </w:r>
      </w:hyperlink>
    </w:p>
    <w:p w14:paraId="4ADAFBC9" w14:textId="512A44E0" w:rsidR="000A286A"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xml:space="preserve">Rusu, A., </w:t>
      </w:r>
      <w:proofErr w:type="spellStart"/>
      <w:r w:rsidRPr="008500F1">
        <w:rPr>
          <w:rFonts w:asciiTheme="minorHAnsi" w:hAnsiTheme="minorHAnsi" w:cstheme="minorHAnsi"/>
          <w:color w:val="2D3B45"/>
          <w:sz w:val="22"/>
          <w:szCs w:val="22"/>
        </w:rPr>
        <w:t>Randriambelonoro</w:t>
      </w:r>
      <w:proofErr w:type="spellEnd"/>
      <w:r w:rsidRPr="008500F1">
        <w:rPr>
          <w:rFonts w:asciiTheme="minorHAnsi" w:hAnsiTheme="minorHAnsi" w:cstheme="minorHAnsi"/>
          <w:color w:val="2D3B45"/>
          <w:sz w:val="22"/>
          <w:szCs w:val="22"/>
        </w:rPr>
        <w:t xml:space="preserve">, M., Perrin, C., Valk, C., Álvarez, B., &amp; Schwarze, A.-K. (2020). Aspects </w:t>
      </w:r>
      <w:r w:rsidR="00B40A3B"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 xml:space="preserve">influencing food intake and approaches towards </w:t>
      </w:r>
      <w:proofErr w:type="spellStart"/>
      <w:r w:rsidRPr="008500F1">
        <w:rPr>
          <w:rFonts w:asciiTheme="minorHAnsi" w:hAnsiTheme="minorHAnsi" w:cstheme="minorHAnsi"/>
          <w:color w:val="2D3B45"/>
          <w:sz w:val="22"/>
          <w:szCs w:val="22"/>
        </w:rPr>
        <w:t>personalising</w:t>
      </w:r>
      <w:proofErr w:type="spellEnd"/>
      <w:r w:rsidRPr="008500F1">
        <w:rPr>
          <w:rFonts w:asciiTheme="minorHAnsi" w:hAnsiTheme="minorHAnsi" w:cstheme="minorHAnsi"/>
          <w:color w:val="2D3B45"/>
          <w:sz w:val="22"/>
          <w:szCs w:val="22"/>
        </w:rPr>
        <w:t xml:space="preserve"> nutrition in </w:t>
      </w:r>
      <w:r w:rsidRPr="008500F1">
        <w:rPr>
          <w:rFonts w:asciiTheme="minorHAnsi" w:hAnsiTheme="minorHAnsi" w:cstheme="minorHAnsi"/>
          <w:color w:val="2D3B45"/>
          <w:sz w:val="22"/>
          <w:szCs w:val="22"/>
        </w:rPr>
        <w:tab/>
      </w:r>
    </w:p>
    <w:p w14:paraId="01A9DC0A" w14:textId="77777777" w:rsidR="009D1D0A" w:rsidRPr="008500F1" w:rsidRDefault="00B40A3B"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ab/>
      </w:r>
      <w:r w:rsidR="00CE06B6" w:rsidRPr="008500F1">
        <w:rPr>
          <w:rFonts w:asciiTheme="minorHAnsi" w:hAnsiTheme="minorHAnsi" w:cstheme="minorHAnsi"/>
          <w:color w:val="2D3B45"/>
          <w:sz w:val="22"/>
          <w:szCs w:val="22"/>
        </w:rPr>
        <w:t>the elderly. </w:t>
      </w:r>
      <w:r w:rsidR="00CE06B6" w:rsidRPr="008500F1">
        <w:rPr>
          <w:rFonts w:asciiTheme="minorHAnsi" w:hAnsiTheme="minorHAnsi" w:cstheme="minorHAnsi"/>
          <w:i/>
          <w:iCs/>
          <w:color w:val="2D3B45"/>
          <w:sz w:val="22"/>
          <w:szCs w:val="22"/>
        </w:rPr>
        <w:t>Journal of Population Ageing</w:t>
      </w:r>
      <w:r w:rsidR="00CE06B6" w:rsidRPr="008500F1">
        <w:rPr>
          <w:rFonts w:asciiTheme="minorHAnsi" w:hAnsiTheme="minorHAnsi" w:cstheme="minorHAnsi"/>
          <w:color w:val="2D3B45"/>
          <w:sz w:val="22"/>
          <w:szCs w:val="22"/>
        </w:rPr>
        <w:t>, </w:t>
      </w:r>
      <w:r w:rsidR="00CE06B6" w:rsidRPr="008500F1">
        <w:rPr>
          <w:rFonts w:asciiTheme="minorHAnsi" w:hAnsiTheme="minorHAnsi" w:cstheme="minorHAnsi"/>
          <w:i/>
          <w:iCs/>
          <w:color w:val="2D3B45"/>
          <w:sz w:val="22"/>
          <w:szCs w:val="22"/>
        </w:rPr>
        <w:t>13</w:t>
      </w:r>
      <w:r w:rsidR="00CE06B6" w:rsidRPr="008500F1">
        <w:rPr>
          <w:rFonts w:asciiTheme="minorHAnsi" w:hAnsiTheme="minorHAnsi" w:cstheme="minorHAnsi"/>
          <w:color w:val="2D3B45"/>
          <w:sz w:val="22"/>
          <w:szCs w:val="22"/>
        </w:rPr>
        <w:t>(2), 239–</w:t>
      </w:r>
      <w:r w:rsidR="002C17C0" w:rsidRPr="008500F1">
        <w:rPr>
          <w:rFonts w:asciiTheme="minorHAnsi" w:hAnsiTheme="minorHAnsi" w:cstheme="minorHAnsi"/>
          <w:color w:val="2D3B45"/>
          <w:sz w:val="22"/>
          <w:szCs w:val="22"/>
        </w:rPr>
        <w:t>256.</w:t>
      </w:r>
      <w:r w:rsidR="004608F1" w:rsidRPr="008500F1">
        <w:rPr>
          <w:rFonts w:asciiTheme="minorHAnsi" w:hAnsiTheme="minorHAnsi" w:cstheme="minorHAnsi"/>
          <w:color w:val="2D3B45"/>
          <w:sz w:val="22"/>
          <w:szCs w:val="22"/>
        </w:rPr>
        <w:t xml:space="preserve"> </w:t>
      </w:r>
    </w:p>
    <w:p w14:paraId="59DEE166" w14:textId="5343A5B2" w:rsidR="004608F1" w:rsidRPr="008500F1" w:rsidRDefault="009D1D0A"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ab/>
      </w:r>
      <w:hyperlink r:id="rId10" w:history="1">
        <w:r w:rsidRPr="008500F1">
          <w:rPr>
            <w:rStyle w:val="Hyperlink"/>
            <w:rFonts w:asciiTheme="minorHAnsi" w:hAnsiTheme="minorHAnsi" w:cstheme="minorHAnsi"/>
            <w:sz w:val="22"/>
            <w:szCs w:val="22"/>
          </w:rPr>
          <w:t>https://doi.org/10.1007/s12062-09259-1</w:t>
        </w:r>
      </w:hyperlink>
    </w:p>
    <w:p w14:paraId="10EE03AC" w14:textId="3F036072" w:rsidR="00CE06B6" w:rsidRPr="008500F1" w:rsidRDefault="00AB522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i/>
          <w:iCs/>
          <w:color w:val="2D3B45"/>
          <w:sz w:val="22"/>
          <w:szCs w:val="22"/>
        </w:rPr>
        <w:lastRenderedPageBreak/>
        <w:t>T</w:t>
      </w:r>
      <w:r w:rsidR="00CE06B6" w:rsidRPr="008500F1">
        <w:rPr>
          <w:rFonts w:asciiTheme="minorHAnsi" w:hAnsiTheme="minorHAnsi" w:cstheme="minorHAnsi"/>
          <w:i/>
          <w:iCs/>
          <w:color w:val="2D3B45"/>
          <w:sz w:val="22"/>
          <w:szCs w:val="22"/>
        </w:rPr>
        <w:t>he state of senior hunger in 2021</w:t>
      </w:r>
      <w:r w:rsidR="00CE06B6" w:rsidRPr="008500F1">
        <w:rPr>
          <w:rFonts w:asciiTheme="minorHAnsi" w:hAnsiTheme="minorHAnsi" w:cstheme="minorHAnsi"/>
          <w:color w:val="2D3B45"/>
          <w:sz w:val="22"/>
          <w:szCs w:val="22"/>
        </w:rPr>
        <w:t>. Feeding America. (2023, April</w:t>
      </w:r>
      <w:r w:rsidR="002C17C0" w:rsidRPr="008500F1">
        <w:rPr>
          <w:rFonts w:asciiTheme="minorHAnsi" w:hAnsiTheme="minorHAnsi" w:cstheme="minorHAnsi"/>
          <w:color w:val="2D3B45"/>
          <w:sz w:val="22"/>
          <w:szCs w:val="22"/>
        </w:rPr>
        <w:t xml:space="preserve"> 26).</w:t>
      </w:r>
      <w:r w:rsidR="00CE06B6" w:rsidRPr="008500F1">
        <w:rPr>
          <w:rFonts w:asciiTheme="minorHAnsi" w:hAnsiTheme="minorHAnsi" w:cstheme="minorHAnsi"/>
          <w:color w:val="2D3B45"/>
          <w:sz w:val="22"/>
          <w:szCs w:val="22"/>
        </w:rPr>
        <w:t xml:space="preserve"> </w:t>
      </w:r>
      <w:r w:rsidR="002C17C0" w:rsidRPr="008500F1">
        <w:rPr>
          <w:rFonts w:asciiTheme="minorHAnsi" w:hAnsiTheme="minorHAnsi" w:cstheme="minorHAnsi"/>
          <w:color w:val="2D3B45"/>
          <w:sz w:val="22"/>
          <w:szCs w:val="22"/>
        </w:rPr>
        <w:tab/>
      </w:r>
      <w:hyperlink r:id="rId11" w:history="1">
        <w:r w:rsidR="002C17C0" w:rsidRPr="008500F1">
          <w:rPr>
            <w:rStyle w:val="Hyperlink"/>
            <w:rFonts w:asciiTheme="minorHAnsi" w:hAnsiTheme="minorHAnsi" w:cstheme="minorHAnsi"/>
            <w:sz w:val="22"/>
            <w:szCs w:val="22"/>
          </w:rPr>
          <w:t>https://www.feedingamerica.org/research/state-senior-hunger</w:t>
        </w:r>
      </w:hyperlink>
    </w:p>
    <w:p w14:paraId="160F99E2" w14:textId="2C550AA0" w:rsidR="00CE06B6" w:rsidRPr="008500F1" w:rsidRDefault="00CE06B6" w:rsidP="008F67D2">
      <w:pPr>
        <w:pStyle w:val="NormalWeb"/>
        <w:shd w:val="clear" w:color="auto" w:fill="FFFFFF"/>
        <w:spacing w:before="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xml:space="preserve">Sulo, S., Riley, K., Liu, Y., Landow, W., </w:t>
      </w:r>
      <w:proofErr w:type="spellStart"/>
      <w:r w:rsidRPr="008500F1">
        <w:rPr>
          <w:rFonts w:asciiTheme="minorHAnsi" w:hAnsiTheme="minorHAnsi" w:cstheme="minorHAnsi"/>
          <w:color w:val="2D3B45"/>
          <w:sz w:val="22"/>
          <w:szCs w:val="22"/>
        </w:rPr>
        <w:t>Lanctin</w:t>
      </w:r>
      <w:proofErr w:type="spellEnd"/>
      <w:r w:rsidRPr="008500F1">
        <w:rPr>
          <w:rFonts w:asciiTheme="minorHAnsi" w:hAnsiTheme="minorHAnsi" w:cstheme="minorHAnsi"/>
          <w:color w:val="2D3B45"/>
          <w:sz w:val="22"/>
          <w:szCs w:val="22"/>
        </w:rPr>
        <w:t xml:space="preserve">, D., &amp; Van Der Bosch, G. (2020). Nutritional Support for </w:t>
      </w:r>
      <w:r w:rsidR="009D1D0A"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 xml:space="preserve">Outpatients at Risk of Malnutrition Improves Health Outcomes and Reduces Healthcare </w:t>
      </w:r>
      <w:r w:rsidR="009D1D0A" w:rsidRPr="008500F1">
        <w:rPr>
          <w:rFonts w:asciiTheme="minorHAnsi" w:hAnsiTheme="minorHAnsi" w:cstheme="minorHAnsi"/>
          <w:color w:val="2D3B45"/>
          <w:sz w:val="22"/>
          <w:szCs w:val="22"/>
        </w:rPr>
        <w:tab/>
      </w:r>
      <w:r w:rsidRPr="008500F1">
        <w:rPr>
          <w:rFonts w:asciiTheme="minorHAnsi" w:hAnsiTheme="minorHAnsi" w:cstheme="minorHAnsi"/>
          <w:color w:val="2D3B45"/>
          <w:sz w:val="22"/>
          <w:szCs w:val="22"/>
        </w:rPr>
        <w:t>Costs. </w:t>
      </w:r>
      <w:r w:rsidRPr="008500F1">
        <w:rPr>
          <w:rFonts w:asciiTheme="minorHAnsi" w:hAnsiTheme="minorHAnsi" w:cstheme="minorHAnsi"/>
          <w:i/>
          <w:iCs/>
          <w:color w:val="2D3B45"/>
          <w:sz w:val="22"/>
          <w:szCs w:val="22"/>
        </w:rPr>
        <w:t>Quality in Primary Care</w:t>
      </w:r>
      <w:r w:rsidRPr="008500F1">
        <w:rPr>
          <w:rFonts w:asciiTheme="minorHAnsi" w:hAnsiTheme="minorHAnsi" w:cstheme="minorHAnsi"/>
          <w:color w:val="2D3B45"/>
          <w:sz w:val="22"/>
          <w:szCs w:val="22"/>
        </w:rPr>
        <w:t>, </w:t>
      </w:r>
      <w:r w:rsidRPr="008500F1">
        <w:rPr>
          <w:rFonts w:asciiTheme="minorHAnsi" w:hAnsiTheme="minorHAnsi" w:cstheme="minorHAnsi"/>
          <w:i/>
          <w:iCs/>
          <w:color w:val="2D3B45"/>
          <w:sz w:val="22"/>
          <w:szCs w:val="22"/>
        </w:rPr>
        <w:t>28</w:t>
      </w:r>
      <w:r w:rsidRPr="008500F1">
        <w:rPr>
          <w:rFonts w:asciiTheme="minorHAnsi" w:hAnsiTheme="minorHAnsi" w:cstheme="minorHAnsi"/>
          <w:color w:val="2D3B45"/>
          <w:sz w:val="22"/>
          <w:szCs w:val="22"/>
        </w:rPr>
        <w:t>(3), 12–18.</w:t>
      </w:r>
    </w:p>
    <w:p w14:paraId="6F8F26A6" w14:textId="77777777" w:rsidR="00CE06B6" w:rsidRPr="008500F1" w:rsidRDefault="00CE06B6" w:rsidP="008F67D2">
      <w:pPr>
        <w:pStyle w:val="NormalWeb"/>
        <w:shd w:val="clear" w:color="auto" w:fill="FFFFFF"/>
        <w:spacing w:before="180" w:beforeAutospacing="0" w:after="0" w:afterAutospacing="0" w:line="480" w:lineRule="auto"/>
        <w:rPr>
          <w:rFonts w:asciiTheme="minorHAnsi" w:hAnsiTheme="minorHAnsi" w:cstheme="minorHAnsi"/>
          <w:color w:val="2D3B45"/>
          <w:sz w:val="22"/>
          <w:szCs w:val="22"/>
        </w:rPr>
      </w:pPr>
      <w:r w:rsidRPr="008500F1">
        <w:rPr>
          <w:rFonts w:asciiTheme="minorHAnsi" w:hAnsiTheme="minorHAnsi" w:cstheme="minorHAnsi"/>
          <w:color w:val="2D3B45"/>
          <w:sz w:val="22"/>
          <w:szCs w:val="22"/>
        </w:rPr>
        <w:t> </w:t>
      </w:r>
    </w:p>
    <w:p w14:paraId="5FBCBF07" w14:textId="77777777" w:rsidR="00CE06B6" w:rsidRPr="008500F1" w:rsidRDefault="00CE06B6" w:rsidP="008F67D2">
      <w:pPr>
        <w:spacing w:after="0" w:line="480" w:lineRule="auto"/>
        <w:rPr>
          <w:rFonts w:cstheme="minorHAnsi"/>
        </w:rPr>
      </w:pPr>
    </w:p>
    <w:sectPr w:rsidR="00CE06B6" w:rsidRPr="008500F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0E2F4" w14:textId="77777777" w:rsidR="003E5117" w:rsidRDefault="003E5117" w:rsidP="00C770E7">
      <w:pPr>
        <w:spacing w:after="0" w:line="240" w:lineRule="auto"/>
      </w:pPr>
      <w:r>
        <w:separator/>
      </w:r>
    </w:p>
  </w:endnote>
  <w:endnote w:type="continuationSeparator" w:id="0">
    <w:p w14:paraId="0505FA4F" w14:textId="77777777" w:rsidR="003E5117" w:rsidRDefault="003E5117" w:rsidP="00C77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A57FC" w14:textId="77777777" w:rsidR="003E5117" w:rsidRDefault="003E5117" w:rsidP="00C770E7">
      <w:pPr>
        <w:spacing w:after="0" w:line="240" w:lineRule="auto"/>
      </w:pPr>
      <w:r>
        <w:separator/>
      </w:r>
    </w:p>
  </w:footnote>
  <w:footnote w:type="continuationSeparator" w:id="0">
    <w:p w14:paraId="41EA5ACC" w14:textId="77777777" w:rsidR="003E5117" w:rsidRDefault="003E5117" w:rsidP="00C77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75485"/>
      <w:docPartObj>
        <w:docPartGallery w:val="Page Numbers (Top of Page)"/>
        <w:docPartUnique/>
      </w:docPartObj>
    </w:sdtPr>
    <w:sdtEndPr>
      <w:rPr>
        <w:noProof/>
      </w:rPr>
    </w:sdtEndPr>
    <w:sdtContent>
      <w:p w14:paraId="05E86107" w14:textId="6C04D001" w:rsidR="00FF0DB3" w:rsidRDefault="00FF0DB3">
        <w:pPr>
          <w:pStyle w:val="Header"/>
          <w:jc w:val="right"/>
        </w:pPr>
        <w:r>
          <w:t xml:space="preserve">MALNUTRITION IN THE ELDERLY </w:t>
        </w:r>
        <w:r>
          <w:tab/>
        </w:r>
        <w:r>
          <w:tab/>
        </w:r>
        <w:r>
          <w:fldChar w:fldCharType="begin"/>
        </w:r>
        <w:r>
          <w:instrText xml:space="preserve"> PAGE   \* MERGEFORMAT </w:instrText>
        </w:r>
        <w:r>
          <w:fldChar w:fldCharType="separate"/>
        </w:r>
        <w:r>
          <w:rPr>
            <w:noProof/>
          </w:rPr>
          <w:t>2</w:t>
        </w:r>
        <w:r>
          <w:rPr>
            <w:noProof/>
          </w:rPr>
          <w:fldChar w:fldCharType="end"/>
        </w:r>
      </w:p>
    </w:sdtContent>
  </w:sdt>
  <w:p w14:paraId="0CF50B5A" w14:textId="77777777" w:rsidR="00E15F17" w:rsidRDefault="00E15F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B6"/>
    <w:rsid w:val="000012EF"/>
    <w:rsid w:val="00003534"/>
    <w:rsid w:val="00007FD4"/>
    <w:rsid w:val="00012645"/>
    <w:rsid w:val="000152B7"/>
    <w:rsid w:val="0001769A"/>
    <w:rsid w:val="00017E35"/>
    <w:rsid w:val="00020434"/>
    <w:rsid w:val="000205C7"/>
    <w:rsid w:val="00027BF1"/>
    <w:rsid w:val="00030139"/>
    <w:rsid w:val="00032F9C"/>
    <w:rsid w:val="00036209"/>
    <w:rsid w:val="00042985"/>
    <w:rsid w:val="00061577"/>
    <w:rsid w:val="00086937"/>
    <w:rsid w:val="00094147"/>
    <w:rsid w:val="000962B4"/>
    <w:rsid w:val="000A286A"/>
    <w:rsid w:val="000A2DD4"/>
    <w:rsid w:val="000A6157"/>
    <w:rsid w:val="000A7F00"/>
    <w:rsid w:val="000B3F9E"/>
    <w:rsid w:val="000C4F14"/>
    <w:rsid w:val="000F452A"/>
    <w:rsid w:val="000F5AD9"/>
    <w:rsid w:val="000F6F57"/>
    <w:rsid w:val="001253F1"/>
    <w:rsid w:val="0013359B"/>
    <w:rsid w:val="00134C59"/>
    <w:rsid w:val="00140437"/>
    <w:rsid w:val="00141286"/>
    <w:rsid w:val="001527C1"/>
    <w:rsid w:val="00153008"/>
    <w:rsid w:val="00154344"/>
    <w:rsid w:val="00154F0A"/>
    <w:rsid w:val="00157DB8"/>
    <w:rsid w:val="0017109F"/>
    <w:rsid w:val="001753DB"/>
    <w:rsid w:val="001778F3"/>
    <w:rsid w:val="00177C93"/>
    <w:rsid w:val="00192B91"/>
    <w:rsid w:val="001A5146"/>
    <w:rsid w:val="001B2B6C"/>
    <w:rsid w:val="001B78BA"/>
    <w:rsid w:val="001E3F28"/>
    <w:rsid w:val="001F1615"/>
    <w:rsid w:val="002132D4"/>
    <w:rsid w:val="00214228"/>
    <w:rsid w:val="002142C5"/>
    <w:rsid w:val="00216F4F"/>
    <w:rsid w:val="0023099B"/>
    <w:rsid w:val="00247C2D"/>
    <w:rsid w:val="00251C23"/>
    <w:rsid w:val="002534A2"/>
    <w:rsid w:val="00272B99"/>
    <w:rsid w:val="002736A3"/>
    <w:rsid w:val="00280B16"/>
    <w:rsid w:val="00284CE5"/>
    <w:rsid w:val="0029011B"/>
    <w:rsid w:val="002912F0"/>
    <w:rsid w:val="002B4A11"/>
    <w:rsid w:val="002B4CB1"/>
    <w:rsid w:val="002B7D93"/>
    <w:rsid w:val="002C17C0"/>
    <w:rsid w:val="002C58A2"/>
    <w:rsid w:val="002C5C15"/>
    <w:rsid w:val="002D0182"/>
    <w:rsid w:val="002E6C8B"/>
    <w:rsid w:val="002E7654"/>
    <w:rsid w:val="00317580"/>
    <w:rsid w:val="003342EC"/>
    <w:rsid w:val="00334B73"/>
    <w:rsid w:val="003439A7"/>
    <w:rsid w:val="00344AD3"/>
    <w:rsid w:val="00345201"/>
    <w:rsid w:val="003456DD"/>
    <w:rsid w:val="00346DC3"/>
    <w:rsid w:val="00372DE3"/>
    <w:rsid w:val="00393426"/>
    <w:rsid w:val="003A0449"/>
    <w:rsid w:val="003A0AA8"/>
    <w:rsid w:val="003A1CAB"/>
    <w:rsid w:val="003A2C5C"/>
    <w:rsid w:val="003C31CF"/>
    <w:rsid w:val="003D433D"/>
    <w:rsid w:val="003E5117"/>
    <w:rsid w:val="003F024B"/>
    <w:rsid w:val="003F5B09"/>
    <w:rsid w:val="004107F7"/>
    <w:rsid w:val="00422B90"/>
    <w:rsid w:val="00423FC8"/>
    <w:rsid w:val="00424EA2"/>
    <w:rsid w:val="00427A0A"/>
    <w:rsid w:val="00441B1C"/>
    <w:rsid w:val="00442236"/>
    <w:rsid w:val="00443F6E"/>
    <w:rsid w:val="00447772"/>
    <w:rsid w:val="00450C21"/>
    <w:rsid w:val="00451318"/>
    <w:rsid w:val="004608F1"/>
    <w:rsid w:val="004674B7"/>
    <w:rsid w:val="00484079"/>
    <w:rsid w:val="004906E5"/>
    <w:rsid w:val="0049594D"/>
    <w:rsid w:val="004970E5"/>
    <w:rsid w:val="004A47D2"/>
    <w:rsid w:val="004B22D5"/>
    <w:rsid w:val="004B7457"/>
    <w:rsid w:val="004C16C1"/>
    <w:rsid w:val="004C5C67"/>
    <w:rsid w:val="004E015D"/>
    <w:rsid w:val="004E7199"/>
    <w:rsid w:val="004F5346"/>
    <w:rsid w:val="004F5823"/>
    <w:rsid w:val="005025FA"/>
    <w:rsid w:val="00502E30"/>
    <w:rsid w:val="0050737F"/>
    <w:rsid w:val="005108A6"/>
    <w:rsid w:val="0051413B"/>
    <w:rsid w:val="00514407"/>
    <w:rsid w:val="005330E6"/>
    <w:rsid w:val="0054282C"/>
    <w:rsid w:val="00554389"/>
    <w:rsid w:val="0056388E"/>
    <w:rsid w:val="00564944"/>
    <w:rsid w:val="00572B53"/>
    <w:rsid w:val="00590B18"/>
    <w:rsid w:val="005A56A3"/>
    <w:rsid w:val="005B016D"/>
    <w:rsid w:val="005B47F9"/>
    <w:rsid w:val="005C0751"/>
    <w:rsid w:val="005E0641"/>
    <w:rsid w:val="005F5970"/>
    <w:rsid w:val="005F7BF8"/>
    <w:rsid w:val="005F7D5A"/>
    <w:rsid w:val="00606849"/>
    <w:rsid w:val="0060720A"/>
    <w:rsid w:val="00613664"/>
    <w:rsid w:val="006176AF"/>
    <w:rsid w:val="00621AF5"/>
    <w:rsid w:val="0064049F"/>
    <w:rsid w:val="0064055C"/>
    <w:rsid w:val="0064225F"/>
    <w:rsid w:val="00642F51"/>
    <w:rsid w:val="00651C81"/>
    <w:rsid w:val="006568D5"/>
    <w:rsid w:val="006616C6"/>
    <w:rsid w:val="00664E93"/>
    <w:rsid w:val="006701E8"/>
    <w:rsid w:val="006717B8"/>
    <w:rsid w:val="00694B95"/>
    <w:rsid w:val="006B04ED"/>
    <w:rsid w:val="006C2A16"/>
    <w:rsid w:val="006D3BC3"/>
    <w:rsid w:val="006F01BA"/>
    <w:rsid w:val="006F39B1"/>
    <w:rsid w:val="00726F04"/>
    <w:rsid w:val="007468C1"/>
    <w:rsid w:val="007510EE"/>
    <w:rsid w:val="0075152F"/>
    <w:rsid w:val="007718A4"/>
    <w:rsid w:val="007723EF"/>
    <w:rsid w:val="0078115A"/>
    <w:rsid w:val="00781397"/>
    <w:rsid w:val="00781BA0"/>
    <w:rsid w:val="007830CA"/>
    <w:rsid w:val="007C0566"/>
    <w:rsid w:val="007E25B0"/>
    <w:rsid w:val="007E3B5A"/>
    <w:rsid w:val="0081082B"/>
    <w:rsid w:val="008132C5"/>
    <w:rsid w:val="00820DB1"/>
    <w:rsid w:val="00820EE9"/>
    <w:rsid w:val="00823800"/>
    <w:rsid w:val="00826734"/>
    <w:rsid w:val="00826F70"/>
    <w:rsid w:val="00830DF3"/>
    <w:rsid w:val="0083282B"/>
    <w:rsid w:val="0084525E"/>
    <w:rsid w:val="00847B04"/>
    <w:rsid w:val="008500F1"/>
    <w:rsid w:val="0086392A"/>
    <w:rsid w:val="00876B90"/>
    <w:rsid w:val="00886B28"/>
    <w:rsid w:val="0089022A"/>
    <w:rsid w:val="008903A3"/>
    <w:rsid w:val="008A05F4"/>
    <w:rsid w:val="008A7A1A"/>
    <w:rsid w:val="008B6BC1"/>
    <w:rsid w:val="008C2C08"/>
    <w:rsid w:val="008C68C2"/>
    <w:rsid w:val="008D15D0"/>
    <w:rsid w:val="008D1EDD"/>
    <w:rsid w:val="008D4D15"/>
    <w:rsid w:val="008D647B"/>
    <w:rsid w:val="008E3292"/>
    <w:rsid w:val="008F15F8"/>
    <w:rsid w:val="008F28EC"/>
    <w:rsid w:val="008F67D2"/>
    <w:rsid w:val="008F7BC6"/>
    <w:rsid w:val="00913729"/>
    <w:rsid w:val="00917707"/>
    <w:rsid w:val="0093319E"/>
    <w:rsid w:val="00937849"/>
    <w:rsid w:val="009501D8"/>
    <w:rsid w:val="00950E65"/>
    <w:rsid w:val="00952B85"/>
    <w:rsid w:val="00954818"/>
    <w:rsid w:val="00965A67"/>
    <w:rsid w:val="00970373"/>
    <w:rsid w:val="00971646"/>
    <w:rsid w:val="0097649B"/>
    <w:rsid w:val="00982F0D"/>
    <w:rsid w:val="0098385B"/>
    <w:rsid w:val="00984226"/>
    <w:rsid w:val="009872E7"/>
    <w:rsid w:val="009925C7"/>
    <w:rsid w:val="009958C3"/>
    <w:rsid w:val="009A43D4"/>
    <w:rsid w:val="009A57FE"/>
    <w:rsid w:val="009A6141"/>
    <w:rsid w:val="009A73F2"/>
    <w:rsid w:val="009B5AC7"/>
    <w:rsid w:val="009C1E96"/>
    <w:rsid w:val="009C3619"/>
    <w:rsid w:val="009D04D3"/>
    <w:rsid w:val="009D1D0A"/>
    <w:rsid w:val="009E0FE2"/>
    <w:rsid w:val="009E4EDB"/>
    <w:rsid w:val="009F2DCF"/>
    <w:rsid w:val="009F64D8"/>
    <w:rsid w:val="00A0185A"/>
    <w:rsid w:val="00A032CC"/>
    <w:rsid w:val="00A15C04"/>
    <w:rsid w:val="00A23624"/>
    <w:rsid w:val="00A25533"/>
    <w:rsid w:val="00A40A14"/>
    <w:rsid w:val="00A422BB"/>
    <w:rsid w:val="00A53CEC"/>
    <w:rsid w:val="00A72920"/>
    <w:rsid w:val="00A73289"/>
    <w:rsid w:val="00A91E17"/>
    <w:rsid w:val="00A94679"/>
    <w:rsid w:val="00A94B6F"/>
    <w:rsid w:val="00AA194F"/>
    <w:rsid w:val="00AB5226"/>
    <w:rsid w:val="00AE73B0"/>
    <w:rsid w:val="00AE77AA"/>
    <w:rsid w:val="00AF5519"/>
    <w:rsid w:val="00AF6355"/>
    <w:rsid w:val="00B26733"/>
    <w:rsid w:val="00B32063"/>
    <w:rsid w:val="00B32CA5"/>
    <w:rsid w:val="00B40A3B"/>
    <w:rsid w:val="00B40B4D"/>
    <w:rsid w:val="00B657FA"/>
    <w:rsid w:val="00B70B78"/>
    <w:rsid w:val="00B70F77"/>
    <w:rsid w:val="00B72081"/>
    <w:rsid w:val="00B77EC4"/>
    <w:rsid w:val="00B9170C"/>
    <w:rsid w:val="00BA1B26"/>
    <w:rsid w:val="00BA5C0E"/>
    <w:rsid w:val="00BB0542"/>
    <w:rsid w:val="00BB0D18"/>
    <w:rsid w:val="00BD4DF8"/>
    <w:rsid w:val="00BD568D"/>
    <w:rsid w:val="00BD6E91"/>
    <w:rsid w:val="00BE306C"/>
    <w:rsid w:val="00BE387B"/>
    <w:rsid w:val="00BF15D1"/>
    <w:rsid w:val="00C00C4F"/>
    <w:rsid w:val="00C079E3"/>
    <w:rsid w:val="00C24CEA"/>
    <w:rsid w:val="00C3211C"/>
    <w:rsid w:val="00C40F02"/>
    <w:rsid w:val="00C75AF9"/>
    <w:rsid w:val="00C770E7"/>
    <w:rsid w:val="00C86FBF"/>
    <w:rsid w:val="00C9576D"/>
    <w:rsid w:val="00C96D8A"/>
    <w:rsid w:val="00CA1B64"/>
    <w:rsid w:val="00CA4849"/>
    <w:rsid w:val="00CD446F"/>
    <w:rsid w:val="00CE06B6"/>
    <w:rsid w:val="00CE556F"/>
    <w:rsid w:val="00D16894"/>
    <w:rsid w:val="00D20346"/>
    <w:rsid w:val="00D22DA4"/>
    <w:rsid w:val="00D30222"/>
    <w:rsid w:val="00D62D46"/>
    <w:rsid w:val="00D73191"/>
    <w:rsid w:val="00D768D8"/>
    <w:rsid w:val="00D80ECF"/>
    <w:rsid w:val="00D8403A"/>
    <w:rsid w:val="00D93C7F"/>
    <w:rsid w:val="00D9483F"/>
    <w:rsid w:val="00DA1502"/>
    <w:rsid w:val="00DA258D"/>
    <w:rsid w:val="00DA37EF"/>
    <w:rsid w:val="00DA4AAD"/>
    <w:rsid w:val="00DA7C8C"/>
    <w:rsid w:val="00DB530F"/>
    <w:rsid w:val="00DC24EF"/>
    <w:rsid w:val="00DD3399"/>
    <w:rsid w:val="00DD7E10"/>
    <w:rsid w:val="00E07A7D"/>
    <w:rsid w:val="00E12823"/>
    <w:rsid w:val="00E15F17"/>
    <w:rsid w:val="00E17910"/>
    <w:rsid w:val="00E22FB2"/>
    <w:rsid w:val="00E33D03"/>
    <w:rsid w:val="00E429AE"/>
    <w:rsid w:val="00E434D3"/>
    <w:rsid w:val="00E52883"/>
    <w:rsid w:val="00E567C1"/>
    <w:rsid w:val="00E7375A"/>
    <w:rsid w:val="00E878E0"/>
    <w:rsid w:val="00E90212"/>
    <w:rsid w:val="00E91599"/>
    <w:rsid w:val="00E977D1"/>
    <w:rsid w:val="00EA312D"/>
    <w:rsid w:val="00EA3FDB"/>
    <w:rsid w:val="00EB42AA"/>
    <w:rsid w:val="00EB6AF8"/>
    <w:rsid w:val="00EC6B4F"/>
    <w:rsid w:val="00ED60B0"/>
    <w:rsid w:val="00EF4FFB"/>
    <w:rsid w:val="00F020CA"/>
    <w:rsid w:val="00F1084C"/>
    <w:rsid w:val="00F11E04"/>
    <w:rsid w:val="00F20407"/>
    <w:rsid w:val="00F33AA0"/>
    <w:rsid w:val="00F36E06"/>
    <w:rsid w:val="00F3775E"/>
    <w:rsid w:val="00F56664"/>
    <w:rsid w:val="00F61415"/>
    <w:rsid w:val="00F6385D"/>
    <w:rsid w:val="00F668B3"/>
    <w:rsid w:val="00F71450"/>
    <w:rsid w:val="00F7281D"/>
    <w:rsid w:val="00F8144E"/>
    <w:rsid w:val="00F81A11"/>
    <w:rsid w:val="00F833BD"/>
    <w:rsid w:val="00FA0100"/>
    <w:rsid w:val="00FC4AA9"/>
    <w:rsid w:val="00FC708A"/>
    <w:rsid w:val="00FE059A"/>
    <w:rsid w:val="00FE1D46"/>
    <w:rsid w:val="00FF0DB3"/>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17692"/>
  <w15:chartTrackingRefBased/>
  <w15:docId w15:val="{FC41670D-64B4-4C5A-BF72-8BE7F158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06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06B6"/>
    <w:rPr>
      <w:color w:val="0000FF"/>
      <w:u w:val="single"/>
    </w:rPr>
  </w:style>
  <w:style w:type="character" w:customStyle="1" w:styleId="screenreader-only">
    <w:name w:val="screenreader-only"/>
    <w:basedOn w:val="DefaultParagraphFont"/>
    <w:rsid w:val="00CE06B6"/>
  </w:style>
  <w:style w:type="character" w:styleId="UnresolvedMention">
    <w:name w:val="Unresolved Mention"/>
    <w:basedOn w:val="DefaultParagraphFont"/>
    <w:uiPriority w:val="99"/>
    <w:semiHidden/>
    <w:unhideWhenUsed/>
    <w:rsid w:val="00CE06B6"/>
    <w:rPr>
      <w:color w:val="605E5C"/>
      <w:shd w:val="clear" w:color="auto" w:fill="E1DFDD"/>
    </w:rPr>
  </w:style>
  <w:style w:type="paragraph" w:styleId="Header">
    <w:name w:val="header"/>
    <w:basedOn w:val="Normal"/>
    <w:link w:val="HeaderChar"/>
    <w:uiPriority w:val="99"/>
    <w:unhideWhenUsed/>
    <w:rsid w:val="00C77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0E7"/>
  </w:style>
  <w:style w:type="paragraph" w:styleId="Footer">
    <w:name w:val="footer"/>
    <w:basedOn w:val="Normal"/>
    <w:link w:val="FooterChar"/>
    <w:uiPriority w:val="99"/>
    <w:unhideWhenUsed/>
    <w:rsid w:val="00C77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71298">
      <w:bodyDiv w:val="1"/>
      <w:marLeft w:val="0"/>
      <w:marRight w:val="0"/>
      <w:marTop w:val="0"/>
      <w:marBottom w:val="0"/>
      <w:divBdr>
        <w:top w:val="none" w:sz="0" w:space="0" w:color="auto"/>
        <w:left w:val="none" w:sz="0" w:space="0" w:color="auto"/>
        <w:bottom w:val="none" w:sz="0" w:space="0" w:color="auto"/>
        <w:right w:val="none" w:sz="0" w:space="0" w:color="auto"/>
      </w:divBdr>
    </w:div>
    <w:div w:id="19151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nu1308276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3390/nu12030737"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7/s0144686x22000757" TargetMode="External"/><Relationship Id="rId11" Type="http://schemas.openxmlformats.org/officeDocument/2006/relationships/hyperlink" Target="https://www.feedingamerica.org/research/state-senior-hunger" TargetMode="External"/><Relationship Id="rId5" Type="http://schemas.openxmlformats.org/officeDocument/2006/relationships/endnotes" Target="endnotes.xml"/><Relationship Id="rId10" Type="http://schemas.openxmlformats.org/officeDocument/2006/relationships/hyperlink" Target="https://doi.org/10.1007/s12062-09259-1" TargetMode="External"/><Relationship Id="rId4" Type="http://schemas.openxmlformats.org/officeDocument/2006/relationships/footnotes" Target="footnotes.xml"/><Relationship Id="rId9" Type="http://schemas.openxmlformats.org/officeDocument/2006/relationships/hyperlink" Target="https://doi.org/10.3390/ijerph1716592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3187</TotalTime>
  <Pages>6</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Hillsgrove</dc:creator>
  <cp:keywords/>
  <dc:description/>
  <cp:lastModifiedBy>Leona Hillsgrove</cp:lastModifiedBy>
  <cp:revision>345</cp:revision>
  <dcterms:created xsi:type="dcterms:W3CDTF">2023-11-03T15:15:00Z</dcterms:created>
  <dcterms:modified xsi:type="dcterms:W3CDTF">2023-11-10T20:47:00Z</dcterms:modified>
</cp:coreProperties>
</file>